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92C" w:rsidRDefault="00C7092C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7092C" w:rsidRDefault="00C7092C">
      <w:pPr>
        <w:pStyle w:val="ConsPlusNormal"/>
        <w:jc w:val="both"/>
        <w:outlineLvl w:val="0"/>
      </w:pPr>
    </w:p>
    <w:p w:rsidR="00C7092C" w:rsidRDefault="00C7092C">
      <w:pPr>
        <w:pStyle w:val="ConsPlusNormal"/>
        <w:outlineLvl w:val="0"/>
      </w:pPr>
      <w:r>
        <w:t>Зарегистрировано в Минюсте России 17 сентября 2024 г. N 79490</w:t>
      </w:r>
    </w:p>
    <w:p w:rsidR="00C7092C" w:rsidRDefault="00C7092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Title"/>
        <w:jc w:val="center"/>
      </w:pPr>
      <w:r>
        <w:t>МИНИСТЕРСТВО ПРОСВЕЩЕНИЯ РОССИЙСКОЙ ФЕДЕРАЦИИ</w:t>
      </w:r>
    </w:p>
    <w:p w:rsidR="00C7092C" w:rsidRDefault="00C7092C">
      <w:pPr>
        <w:pStyle w:val="ConsPlusTitle"/>
        <w:jc w:val="center"/>
      </w:pPr>
    </w:p>
    <w:p w:rsidR="00C7092C" w:rsidRDefault="00C7092C">
      <w:pPr>
        <w:pStyle w:val="ConsPlusTitle"/>
        <w:jc w:val="center"/>
      </w:pPr>
      <w:r>
        <w:t>ПРИКАЗ</w:t>
      </w:r>
    </w:p>
    <w:p w:rsidR="00C7092C" w:rsidRDefault="00C7092C">
      <w:pPr>
        <w:pStyle w:val="ConsPlusTitle"/>
        <w:jc w:val="center"/>
      </w:pPr>
      <w:r>
        <w:t>от 16 августа 2024 г. N 580</w:t>
      </w:r>
    </w:p>
    <w:p w:rsidR="00C7092C" w:rsidRDefault="00C7092C">
      <w:pPr>
        <w:pStyle w:val="ConsPlusTitle"/>
        <w:jc w:val="center"/>
      </w:pPr>
    </w:p>
    <w:p w:rsidR="00C7092C" w:rsidRDefault="00C7092C">
      <w:pPr>
        <w:pStyle w:val="ConsPlusTitle"/>
        <w:jc w:val="center"/>
      </w:pPr>
      <w:r>
        <w:t>ОБ УТВЕРЖДЕНИИ</w:t>
      </w:r>
    </w:p>
    <w:p w:rsidR="00C7092C" w:rsidRDefault="00C7092C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C7092C" w:rsidRDefault="00C7092C">
      <w:pPr>
        <w:pStyle w:val="ConsPlusTitle"/>
        <w:jc w:val="center"/>
      </w:pPr>
      <w:r>
        <w:t>СРЕДНЕГО ПРОФЕССИОНАЛЬНОГО ОБРАЗОВАНИЯ ПО ПРОФЕССИИ 23.01.17</w:t>
      </w:r>
    </w:p>
    <w:p w:rsidR="00C7092C" w:rsidRDefault="00C7092C">
      <w:pPr>
        <w:pStyle w:val="ConsPlusTitle"/>
        <w:jc w:val="center"/>
      </w:pPr>
      <w:r>
        <w:t>МАСТЕР ПО РЕМОНТУ И ОБСЛУЖИВАНИЮ АВТОМОБИЛЕЙ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подпунктом 4.2.31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r:id="rId6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2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профессии 23.01.17 Мастер по ремонту и обслуживанию автомобилей (далее - стандарт).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2. Установить, что: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образовательная организация вправе осуществлять в соответствии со </w:t>
      </w:r>
      <w:hyperlink w:anchor="P32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7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профессии </w:t>
      </w:r>
      <w:hyperlink r:id="rId8">
        <w:r>
          <w:rPr>
            <w:color w:val="0000FF"/>
          </w:rPr>
          <w:t>23.01.17</w:t>
        </w:r>
      </w:hyperlink>
      <w:r>
        <w:t xml:space="preserve"> Мастер по ремонту и обслуживанию автомобилей, утвержденным приказом Министерства образования и науки Российской Федерации от 9 декабря 2016 г. N 1581 (зарегистрирован Министерством юстиции Российской Федерации 20 декабря 2016 г., регистрационный N 44800), с изменениями, внесенными приказами Министерства просвещения Российской Федерации от 17 декабря 2020 г. N 747 (зарегистрирован Министерством юстиции Российской Федерации 22 января 2021 г., регистрационный N 62178), от 1 сентября 2022 г. N 796 (зарегистрирован Министерством юстиции Российской Федерации 11 октября 2022 г., регистрационный N 70461) и от 3 июля 2024 г. N 464 (зарегистрирован Министерством юстиции Российской Федерации 9 августа 2024 г., регистрационный N 79088), прекращается с 31 декабря 2024 года.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jc w:val="right"/>
      </w:pPr>
      <w:r>
        <w:t>Исполняющий обязанности Министра</w:t>
      </w:r>
    </w:p>
    <w:p w:rsidR="00C7092C" w:rsidRDefault="00C7092C">
      <w:pPr>
        <w:pStyle w:val="ConsPlusNormal"/>
        <w:jc w:val="right"/>
      </w:pPr>
      <w:r>
        <w:t>А.В.БУГАЕВ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jc w:val="right"/>
        <w:outlineLvl w:val="0"/>
      </w:pPr>
      <w:r>
        <w:t>Утвержден</w:t>
      </w:r>
    </w:p>
    <w:p w:rsidR="00C7092C" w:rsidRDefault="00C7092C">
      <w:pPr>
        <w:pStyle w:val="ConsPlusNormal"/>
        <w:jc w:val="right"/>
      </w:pPr>
      <w:r>
        <w:lastRenderedPageBreak/>
        <w:t>приказом Министерства просвещения</w:t>
      </w:r>
    </w:p>
    <w:p w:rsidR="00C7092C" w:rsidRDefault="00C7092C">
      <w:pPr>
        <w:pStyle w:val="ConsPlusNormal"/>
        <w:jc w:val="right"/>
      </w:pPr>
      <w:r>
        <w:t>Российской Федерации</w:t>
      </w:r>
    </w:p>
    <w:p w:rsidR="00C7092C" w:rsidRDefault="00C7092C">
      <w:pPr>
        <w:pStyle w:val="ConsPlusNormal"/>
        <w:jc w:val="right"/>
      </w:pPr>
      <w:r>
        <w:t>от 16 августа 2024 г. N 580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Title"/>
        <w:jc w:val="center"/>
      </w:pPr>
      <w:bookmarkStart w:id="0" w:name="P32"/>
      <w:bookmarkEnd w:id="0"/>
      <w:r>
        <w:t>ФЕДЕРАЛЬНЫЙ ГОСУДАРСТВЕННЫЙ ОБРАЗОВАТЕЛЬНЫЙ СТАНДАРТ</w:t>
      </w:r>
    </w:p>
    <w:p w:rsidR="00C7092C" w:rsidRDefault="00C7092C">
      <w:pPr>
        <w:pStyle w:val="ConsPlusTitle"/>
        <w:jc w:val="center"/>
      </w:pPr>
      <w:r>
        <w:t>СРЕДНЕГО ПРОФЕССИОНАЛЬНОГО ОБРАЗОВАНИЯ ПО ПРОФЕССИИ 23.01.17</w:t>
      </w:r>
    </w:p>
    <w:p w:rsidR="00C7092C" w:rsidRDefault="00C7092C">
      <w:pPr>
        <w:pStyle w:val="ConsPlusTitle"/>
        <w:jc w:val="center"/>
      </w:pPr>
      <w:r>
        <w:t>МАСТЕР ПО РЕМОНТУ И ОБСЛУЖИВАНИЮ АВТОМОБИЛЕЙ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Title"/>
        <w:jc w:val="center"/>
        <w:outlineLvl w:val="1"/>
      </w:pPr>
      <w:r>
        <w:t>I. ОБЩИЕ ПОЛОЖЕНИЯ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ind w:firstLine="540"/>
        <w:jc w:val="both"/>
      </w:pPr>
      <w:bookmarkStart w:id="1" w:name="P38"/>
      <w:bookmarkEnd w:id="1"/>
      <w: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квалифицированных рабочих, служащих по профессии </w:t>
      </w:r>
      <w:hyperlink r:id="rId9">
        <w:r>
          <w:rPr>
            <w:color w:val="0000FF"/>
          </w:rPr>
          <w:t>23.01.17</w:t>
        </w:r>
      </w:hyperlink>
      <w:r>
        <w:t xml:space="preserve"> Мастер по ремонту и обслуживанию автомобилей (далее соответственно - ФГОС СПО, образовательная программа, профессия) в соответствии с квалификацией квалифицированного рабочего, служащего "мастер по ремонту и обслуживанию автомобилей" &lt;1&gt;.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&lt;1&gt; </w:t>
      </w:r>
      <w:hyperlink r:id="rId10">
        <w:r>
          <w:rPr>
            <w:color w:val="0000FF"/>
          </w:rPr>
          <w:t>Перечень</w:t>
        </w:r>
      </w:hyperlink>
      <w:r>
        <w:t xml:space="preserve"> профессий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приказами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73797), от 25 сентября 2023 г. N 717 (зарегистрирован Министерством юстиции Российской Федерации 26 октября 2023 г., регистрационный N 75754) и от 27 апреля 2024 г. N 289 (зарегистрирован Министерством юстиции Российской Федерации 31 мая 2024 г., регистрационный N 78367).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ind w:firstLine="540"/>
        <w:jc w:val="both"/>
      </w:pPr>
      <w:r>
        <w:t>1.2. Получение образования по профессии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11">
        <w:r>
          <w:rPr>
            <w:color w:val="0000FF"/>
          </w:rPr>
          <w:t>стандарта</w:t>
        </w:r>
      </w:hyperlink>
      <w: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профессии.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&lt;2&gt; Федеральный государственный образовательный </w:t>
      </w:r>
      <w:hyperlink r:id="rId12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</w:t>
      </w:r>
      <w:r>
        <w:lastRenderedPageBreak/>
        <w:t>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ind w:firstLine="540"/>
        <w:jc w:val="both"/>
      </w:pPr>
      <w:r>
        <w:t>1.4. Обучение по образовательной программе в образовательной организации осуществляется в очной и очно-заочной формах обучения.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&lt;3&gt; </w:t>
      </w:r>
      <w:hyperlink r:id="rId13">
        <w:r>
          <w:rPr>
            <w:color w:val="0000FF"/>
          </w:rPr>
          <w:t>Часть 2 статьи 12.1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ind w:firstLine="540"/>
        <w:jc w:val="both"/>
      </w:pPr>
      <w:r>
        <w:t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&lt;4&gt; </w:t>
      </w:r>
      <w:hyperlink r:id="rId14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ind w:firstLine="540"/>
        <w:jc w:val="both"/>
      </w:pPr>
      <w:bookmarkStart w:id="2" w:name="P60"/>
      <w:bookmarkEnd w:id="2"/>
      <w:r>
        <w:t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на базе среднего общего образования - 10 месяцев;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на базе основного общего образования - 1 год 10 месяцев.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lastRenderedPageBreak/>
        <w:t>Срок получения образования по образовательной программе в очно-заочной форме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1.10. 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1.11. Конкретный срок получения образования в очно-заочной форме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anchor="P60">
        <w:r>
          <w:rPr>
            <w:color w:val="0000FF"/>
          </w:rPr>
          <w:t>пунктом 1.9</w:t>
        </w:r>
      </w:hyperlink>
      <w:r>
        <w:t xml:space="preserve"> ФГОС СПО.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 w:rsidR="00C7092C" w:rsidRDefault="00C7092C">
      <w:pPr>
        <w:pStyle w:val="ConsPlusNormal"/>
        <w:spacing w:before="240"/>
        <w:ind w:firstLine="540"/>
        <w:jc w:val="both"/>
      </w:pPr>
      <w:bookmarkStart w:id="3" w:name="P68"/>
      <w:bookmarkEnd w:id="3"/>
      <w:r>
        <w:t xml:space="preserve">1.13.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</w:t>
      </w:r>
      <w:hyperlink r:id="rId15">
        <w:r>
          <w:rPr>
            <w:color w:val="0000FF"/>
          </w:rPr>
          <w:t>17</w:t>
        </w:r>
      </w:hyperlink>
      <w:r>
        <w:t xml:space="preserve"> Транспорт, </w:t>
      </w:r>
      <w:hyperlink r:id="rId16">
        <w:r>
          <w:rPr>
            <w:color w:val="0000FF"/>
          </w:rPr>
          <w:t>31</w:t>
        </w:r>
      </w:hyperlink>
      <w:r>
        <w:t xml:space="preserve"> Автомобилестроение, </w:t>
      </w:r>
      <w:hyperlink r:id="rId17">
        <w:r>
          <w:rPr>
            <w:color w:val="0000FF"/>
          </w:rPr>
          <w:t>33</w:t>
        </w:r>
      </w:hyperlink>
      <w:r>
        <w:t xml:space="preserve">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 &lt;5&gt;.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&lt;5&gt; </w:t>
      </w:r>
      <w:hyperlink r:id="rId18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ind w:firstLine="540"/>
        <w:jc w:val="both"/>
      </w:pPr>
      <w: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1.14. При разработке образовательной программы образовательная организация устанавливает направленность, которая соответствует профессии в целом с учетом соответствующей ПОП.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Title"/>
        <w:jc w:val="center"/>
        <w:outlineLvl w:val="1"/>
      </w:pPr>
      <w:r>
        <w:t>II. ТРЕБОВАНИЯ К СТРУКТУРЕ ОБРАЗОВАТЕЛЬНОЙ ПРОГРАММЫ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ind w:firstLine="540"/>
        <w:jc w:val="both"/>
      </w:pPr>
      <w:r>
        <w:t xml:space="preserve">2.1. Структура и объем образовательной программы </w:t>
      </w:r>
      <w:hyperlink w:anchor="P84">
        <w:r>
          <w:rPr>
            <w:color w:val="0000FF"/>
          </w:rPr>
          <w:t>(таблица N 1)</w:t>
        </w:r>
      </w:hyperlink>
      <w:r>
        <w:t xml:space="preserve"> включают: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дисциплины (модули);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lastRenderedPageBreak/>
        <w:t>практику;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государственную итоговую аттестацию.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jc w:val="right"/>
      </w:pPr>
      <w:r>
        <w:t>Таблица N 1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jc w:val="center"/>
      </w:pPr>
      <w:bookmarkStart w:id="4" w:name="P84"/>
      <w:bookmarkEnd w:id="4"/>
      <w:r>
        <w:t>Структура и объем образовательной программы</w:t>
      </w:r>
    </w:p>
    <w:p w:rsidR="00C7092C" w:rsidRDefault="00C7092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3401"/>
      </w:tblGrid>
      <w:tr w:rsidR="00C7092C">
        <w:tc>
          <w:tcPr>
            <w:tcW w:w="5669" w:type="dxa"/>
          </w:tcPr>
          <w:p w:rsidR="00C7092C" w:rsidRDefault="00C7092C">
            <w:pPr>
              <w:pStyle w:val="ConsPlusNormal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3401" w:type="dxa"/>
          </w:tcPr>
          <w:p w:rsidR="00C7092C" w:rsidRDefault="00C7092C">
            <w:pPr>
              <w:pStyle w:val="ConsPlusNormal"/>
              <w:jc w:val="center"/>
            </w:pPr>
            <w:r>
              <w:t>Объем образовательной программы, в академических часах</w:t>
            </w:r>
          </w:p>
        </w:tc>
      </w:tr>
      <w:tr w:rsidR="00C7092C">
        <w:tc>
          <w:tcPr>
            <w:tcW w:w="5669" w:type="dxa"/>
          </w:tcPr>
          <w:p w:rsidR="00C7092C" w:rsidRDefault="00C7092C">
            <w:pPr>
              <w:pStyle w:val="ConsPlusNormal"/>
            </w:pPr>
            <w:r>
              <w:t>Дисциплины (модули)</w:t>
            </w:r>
          </w:p>
        </w:tc>
        <w:tc>
          <w:tcPr>
            <w:tcW w:w="3401" w:type="dxa"/>
          </w:tcPr>
          <w:p w:rsidR="00C7092C" w:rsidRDefault="00C7092C">
            <w:pPr>
              <w:pStyle w:val="ConsPlusNormal"/>
              <w:jc w:val="center"/>
            </w:pPr>
            <w:r>
              <w:t>Не менее 540</w:t>
            </w:r>
          </w:p>
        </w:tc>
      </w:tr>
      <w:tr w:rsidR="00C7092C">
        <w:tc>
          <w:tcPr>
            <w:tcW w:w="5669" w:type="dxa"/>
          </w:tcPr>
          <w:p w:rsidR="00C7092C" w:rsidRDefault="00C7092C">
            <w:pPr>
              <w:pStyle w:val="ConsPlusNormal"/>
            </w:pPr>
            <w:r>
              <w:t>Практика</w:t>
            </w:r>
          </w:p>
        </w:tc>
        <w:tc>
          <w:tcPr>
            <w:tcW w:w="3401" w:type="dxa"/>
          </w:tcPr>
          <w:p w:rsidR="00C7092C" w:rsidRDefault="00C7092C">
            <w:pPr>
              <w:pStyle w:val="ConsPlusNormal"/>
              <w:jc w:val="center"/>
            </w:pPr>
            <w:r>
              <w:t>Не менее 468</w:t>
            </w:r>
          </w:p>
        </w:tc>
      </w:tr>
      <w:tr w:rsidR="00C7092C">
        <w:tc>
          <w:tcPr>
            <w:tcW w:w="5669" w:type="dxa"/>
          </w:tcPr>
          <w:p w:rsidR="00C7092C" w:rsidRDefault="00C7092C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3401" w:type="dxa"/>
          </w:tcPr>
          <w:p w:rsidR="00C7092C" w:rsidRDefault="00C7092C">
            <w:pPr>
              <w:pStyle w:val="ConsPlusNormal"/>
              <w:jc w:val="center"/>
            </w:pPr>
            <w:r>
              <w:t>36</w:t>
            </w:r>
          </w:p>
        </w:tc>
      </w:tr>
      <w:tr w:rsidR="00C7092C">
        <w:tblPrEx>
          <w:tblBorders>
            <w:right w:val="nil"/>
          </w:tblBorders>
        </w:tblPrEx>
        <w:tc>
          <w:tcPr>
            <w:tcW w:w="5669" w:type="dxa"/>
          </w:tcPr>
          <w:p w:rsidR="00C7092C" w:rsidRDefault="00C7092C">
            <w:pPr>
              <w:pStyle w:val="ConsPlusNormal"/>
            </w:pPr>
          </w:p>
        </w:tc>
        <w:tc>
          <w:tcPr>
            <w:tcW w:w="3401" w:type="dxa"/>
            <w:tcBorders>
              <w:right w:val="nil"/>
            </w:tcBorders>
          </w:tcPr>
          <w:p w:rsidR="00C7092C" w:rsidRDefault="00C7092C">
            <w:pPr>
              <w:pStyle w:val="ConsPlusNormal"/>
            </w:pPr>
          </w:p>
        </w:tc>
      </w:tr>
      <w:tr w:rsidR="00C7092C">
        <w:tc>
          <w:tcPr>
            <w:tcW w:w="5669" w:type="dxa"/>
          </w:tcPr>
          <w:p w:rsidR="00C7092C" w:rsidRDefault="00C7092C">
            <w:pPr>
              <w:pStyle w:val="ConsPlusNormal"/>
            </w:pPr>
            <w:r>
              <w:t>на базе среднего общего образования</w:t>
            </w:r>
          </w:p>
        </w:tc>
        <w:tc>
          <w:tcPr>
            <w:tcW w:w="3401" w:type="dxa"/>
          </w:tcPr>
          <w:p w:rsidR="00C7092C" w:rsidRDefault="00C7092C">
            <w:pPr>
              <w:pStyle w:val="ConsPlusNormal"/>
              <w:jc w:val="center"/>
            </w:pPr>
            <w:r>
              <w:t>1476</w:t>
            </w:r>
          </w:p>
        </w:tc>
      </w:tr>
      <w:tr w:rsidR="00C7092C">
        <w:tc>
          <w:tcPr>
            <w:tcW w:w="5669" w:type="dxa"/>
          </w:tcPr>
          <w:p w:rsidR="00C7092C" w:rsidRDefault="00C7092C">
            <w:pPr>
              <w:pStyle w:val="ConsPlusNormal"/>
            </w:pPr>
            <w: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</w:t>
            </w:r>
            <w:hyperlink r:id="rId19">
              <w:r>
                <w:rPr>
                  <w:color w:val="0000FF"/>
                </w:rPr>
                <w:t>стандарта</w:t>
              </w:r>
            </w:hyperlink>
            <w:r>
              <w:t xml:space="preserve"> среднего общего образования</w:t>
            </w:r>
          </w:p>
        </w:tc>
        <w:tc>
          <w:tcPr>
            <w:tcW w:w="3401" w:type="dxa"/>
          </w:tcPr>
          <w:p w:rsidR="00C7092C" w:rsidRDefault="00C7092C">
            <w:pPr>
              <w:pStyle w:val="ConsPlusNormal"/>
              <w:jc w:val="center"/>
            </w:pPr>
            <w:r>
              <w:t>2952</w:t>
            </w:r>
          </w:p>
        </w:tc>
      </w:tr>
    </w:tbl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ind w:firstLine="540"/>
        <w:jc w:val="both"/>
      </w:pPr>
      <w:r>
        <w:t>2.2. Образовательная программа включает: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социально-гуманитарный цикл;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общепрофессиональный цикл;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профессиональный цикл.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P128">
        <w:r>
          <w:rPr>
            <w:color w:val="0000FF"/>
          </w:rPr>
          <w:t>главой III</w:t>
        </w:r>
      </w:hyperlink>
      <w:r>
        <w:t xml:space="preserve"> ФГОС СПО.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направлена на дальнейшее развитие общих и профессиональных компетенций, в том числе за счет расширения видов деятельности, введения дополнительных профессиональных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рынка труда субъекта Российской Федерации, а также с учетом требований цифровой экономики.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lastRenderedPageBreak/>
        <w:t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 w:rsidR="00C7092C" w:rsidRDefault="00C7092C">
      <w:pPr>
        <w:pStyle w:val="ConsPlusNormal"/>
        <w:spacing w:before="240"/>
        <w:ind w:firstLine="540"/>
        <w:jc w:val="both"/>
      </w:pPr>
      <w:bookmarkStart w:id="5" w:name="P110"/>
      <w:bookmarkEnd w:id="5"/>
      <w:r>
        <w:t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выполнение регламентных работ по поддержанию автотранспортных средств в исправном состоянии;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ремонт механических систем и установка дополнительного оборудования на автотранспортные средства.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anchor="P110">
        <w:r>
          <w:rPr>
            <w:color w:val="0000FF"/>
          </w:rPr>
          <w:t>пункте 2.4</w:t>
        </w:r>
      </w:hyperlink>
      <w:r>
        <w:t xml:space="preserve"> ФГОС СПО, в рамках вариативной части.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 и не менее 25 процентов - в очно-заочной форме обучения.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бережливого производства".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Общий объем дисциплины "Безопасность жизнедеятельности" в очной форме обучения не может быть менее 36 академических часов, из них на освоение основ военной службы (для юношей) - не менее 24 академических часов; для подгрупп девушек это время может быть использовано на освоение основ медицинских знаний.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2.8. Обязательная часть общепрофессионального цикла образовательной программы </w:t>
      </w:r>
      <w:r>
        <w:lastRenderedPageBreak/>
        <w:t>должна предусматривать изучение следующих дисциплин: "Материаловедение", "Электротехника", "Охрана труда".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2.9. 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</w:t>
      </w:r>
      <w:hyperlink w:anchor="P110">
        <w:r>
          <w:rPr>
            <w:color w:val="0000FF"/>
          </w:rPr>
          <w:t>пунктом 2.4</w:t>
        </w:r>
      </w:hyperlink>
      <w: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</w:t>
      </w:r>
      <w:proofErr w:type="spellStart"/>
      <w:r>
        <w:t>рассредоточенно</w:t>
      </w:r>
      <w:proofErr w:type="spellEnd"/>
      <w:r>
        <w:t>, чередуясь с учебными занятиями. Типы практики устанавливаются образовательной организацией самостоятельно с учетом ПОП.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</w:t>
      </w:r>
      <w:proofErr w:type="gramStart"/>
      <w:r>
        <w:t>при необходимости</w:t>
      </w:r>
      <w:proofErr w:type="gramEnd"/>
      <w:r>
        <w:t xml:space="preserve"> обеспечивающей коррекцию нарушений развития и социальную адаптацию указанных лиц.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2.12. Государственная итоговая аттестация проводится в форме демонстрационного экзамена.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2.13. Государственная итоговая аттестация завершается присвоением квалификации квалифицированного рабочего, служащего, указанной в </w:t>
      </w:r>
      <w:hyperlink w:anchor="P38">
        <w:r>
          <w:rPr>
            <w:color w:val="0000FF"/>
          </w:rPr>
          <w:t>пункте 1.1</w:t>
        </w:r>
      </w:hyperlink>
      <w:r>
        <w:t xml:space="preserve"> ФГОС СПО.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Title"/>
        <w:jc w:val="center"/>
        <w:outlineLvl w:val="1"/>
      </w:pPr>
      <w:bookmarkStart w:id="6" w:name="P128"/>
      <w:bookmarkEnd w:id="6"/>
      <w:r>
        <w:t>III. ТРЕБОВАНИЯ К РЕЗУЛЬТАТАМ ОСВОЕНИЯ</w:t>
      </w:r>
    </w:p>
    <w:p w:rsidR="00C7092C" w:rsidRDefault="00C7092C">
      <w:pPr>
        <w:pStyle w:val="ConsPlusTitle"/>
        <w:jc w:val="center"/>
      </w:pPr>
      <w:r>
        <w:t>ОБРАЗОВАТЕЛЬНОЙ ПРОГРАММЫ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ind w:firstLine="540"/>
        <w:jc w:val="both"/>
      </w:pPr>
      <w: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3.2. Выпускник, освоивший образовательную программу, должен обладать следующими общими компетенциями (далее - ОК):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ОК 02. Использовать современные средства поиска, анализа и </w:t>
      </w:r>
      <w:proofErr w:type="gramStart"/>
      <w:r>
        <w:t>интерпретации информации</w:t>
      </w:r>
      <w:proofErr w:type="gramEnd"/>
      <w:r>
        <w:t xml:space="preserve"> и информационные технологии для выполнения задач профессиональной деятельности;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</w:t>
      </w:r>
      <w:r w:rsidRPr="00392A4E">
        <w:rPr>
          <w:highlight w:val="yellow"/>
        </w:rPr>
        <w:t>, использовать знания по правовой и финансовой грамотности в различных жизненных ситуациях;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lastRenderedPageBreak/>
        <w:t xml:space="preserve">ОК 06. Проявлять гражданско-патриотическую позицию, демонстрировать осознанное поведение на основе </w:t>
      </w:r>
      <w:r w:rsidRPr="00392A4E">
        <w:rPr>
          <w:highlight w:val="yellow"/>
        </w:rPr>
        <w:t>традиционных российских духовно-нравственных ценностей</w:t>
      </w:r>
      <w:bookmarkStart w:id="7" w:name="_GoBack"/>
      <w:bookmarkEnd w:id="7"/>
      <w:r>
        <w:t>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видам деятельности (таблица N 2), предусмотренным </w:t>
      </w:r>
      <w:hyperlink w:anchor="P110">
        <w:r>
          <w:rPr>
            <w:color w:val="0000FF"/>
          </w:rPr>
          <w:t>пунктом 2.4</w:t>
        </w:r>
      </w:hyperlink>
      <w:r>
        <w:t xml:space="preserve"> ФГОС СПО, сформированными в том числе на основе профессиональных стандартов (при наличии), указанных в ПОП: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jc w:val="right"/>
      </w:pPr>
      <w:r>
        <w:t>Таблица N 2</w:t>
      </w:r>
    </w:p>
    <w:p w:rsidR="00C7092C" w:rsidRDefault="00C7092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6463"/>
      </w:tblGrid>
      <w:tr w:rsidR="00C7092C">
        <w:tc>
          <w:tcPr>
            <w:tcW w:w="2608" w:type="dxa"/>
          </w:tcPr>
          <w:p w:rsidR="00C7092C" w:rsidRDefault="00C7092C">
            <w:pPr>
              <w:pStyle w:val="ConsPlusNormal"/>
              <w:jc w:val="center"/>
            </w:pPr>
            <w:r>
              <w:t>Виды деятельности</w:t>
            </w:r>
          </w:p>
        </w:tc>
        <w:tc>
          <w:tcPr>
            <w:tcW w:w="6463" w:type="dxa"/>
          </w:tcPr>
          <w:p w:rsidR="00C7092C" w:rsidRDefault="00C7092C">
            <w:pPr>
              <w:pStyle w:val="ConsPlusNormal"/>
              <w:jc w:val="center"/>
            </w:pPr>
            <w:r>
              <w:t>Профессиональные компетенции, соответствующие видам деятельности</w:t>
            </w:r>
          </w:p>
        </w:tc>
      </w:tr>
      <w:tr w:rsidR="00C7092C">
        <w:tc>
          <w:tcPr>
            <w:tcW w:w="2608" w:type="dxa"/>
          </w:tcPr>
          <w:p w:rsidR="00C7092C" w:rsidRDefault="00C7092C">
            <w:pPr>
              <w:pStyle w:val="ConsPlusNormal"/>
            </w:pPr>
            <w:r>
              <w:t>выполнение регламентных работ по поддержанию автотранспортных средств в исправном состоянии</w:t>
            </w:r>
          </w:p>
        </w:tc>
        <w:tc>
          <w:tcPr>
            <w:tcW w:w="6463" w:type="dxa"/>
          </w:tcPr>
          <w:p w:rsidR="00C7092C" w:rsidRDefault="00C7092C">
            <w:pPr>
              <w:pStyle w:val="ConsPlusNormal"/>
              <w:jc w:val="both"/>
            </w:pPr>
            <w:r>
              <w:t>ПК 1.1. Проводить предпродажную подготовку автотранспортных средств в процессе оказания услуг по продаже автотранспортных средств потребителям.</w:t>
            </w:r>
          </w:p>
          <w:p w:rsidR="00C7092C" w:rsidRDefault="00C7092C">
            <w:pPr>
              <w:pStyle w:val="ConsPlusNormal"/>
              <w:jc w:val="both"/>
            </w:pPr>
            <w:r>
              <w:t>ПК 1.2. Осуществлять техническое обслуживание автотранспортных средств.</w:t>
            </w:r>
          </w:p>
        </w:tc>
      </w:tr>
      <w:tr w:rsidR="00C7092C">
        <w:tc>
          <w:tcPr>
            <w:tcW w:w="2608" w:type="dxa"/>
          </w:tcPr>
          <w:p w:rsidR="00C7092C" w:rsidRDefault="00C7092C">
            <w:pPr>
              <w:pStyle w:val="ConsPlusNormal"/>
            </w:pPr>
            <w:r>
              <w:t>ремонт механических систем и установка дополнительного оборудования на автотранспортные средства</w:t>
            </w:r>
          </w:p>
        </w:tc>
        <w:tc>
          <w:tcPr>
            <w:tcW w:w="6463" w:type="dxa"/>
          </w:tcPr>
          <w:p w:rsidR="00C7092C" w:rsidRDefault="00C7092C">
            <w:pPr>
              <w:pStyle w:val="ConsPlusNormal"/>
              <w:jc w:val="both"/>
            </w:pPr>
            <w:r>
              <w:t>ПК 2.1. Выполнять монтажные, демонтажные, регулировочные и диагностические работы механических компонентов автотранспортных средств.</w:t>
            </w:r>
          </w:p>
          <w:p w:rsidR="00C7092C" w:rsidRDefault="00C7092C">
            <w:pPr>
              <w:pStyle w:val="ConsPlusNormal"/>
              <w:jc w:val="both"/>
            </w:pPr>
            <w:r>
              <w:t>ПК 2.2. Выполнять ремонт узлов, агрегатов и механических систем автотранспортных средств.</w:t>
            </w:r>
          </w:p>
          <w:p w:rsidR="00C7092C" w:rsidRDefault="00C7092C">
            <w:pPr>
              <w:pStyle w:val="ConsPlusNormal"/>
              <w:jc w:val="both"/>
            </w:pPr>
            <w:r>
              <w:t>ПК 2.3. Выполнять установку дополнительного оборудования на автотранспортные средства.</w:t>
            </w:r>
          </w:p>
        </w:tc>
      </w:tr>
    </w:tbl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ind w:firstLine="540"/>
        <w:jc w:val="both"/>
      </w:pPr>
      <w: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anchor="P110">
        <w:r>
          <w:rPr>
            <w:color w:val="0000FF"/>
          </w:rPr>
          <w:t>пунктом 2.4</w:t>
        </w:r>
      </w:hyperlink>
      <w: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рынка труда субъекта Российской Федерации.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lastRenderedPageBreak/>
        <w:t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3.6. Обучающиеся, осваивающие образовательную программу, могут освоить дополнительно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&lt;6&gt;.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&lt;6&gt; </w:t>
      </w:r>
      <w:hyperlink r:id="rId20">
        <w:r>
          <w:rPr>
            <w:color w:val="0000FF"/>
          </w:rPr>
          <w:t>Часть 7 статьи 73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Title"/>
        <w:jc w:val="center"/>
        <w:outlineLvl w:val="1"/>
      </w:pPr>
      <w:r>
        <w:t>IV. ТРЕБОВАНИЯ К УСЛОВИЯМ РЕАЛИЗАЦИИ</w:t>
      </w:r>
    </w:p>
    <w:p w:rsidR="00C7092C" w:rsidRDefault="00C7092C">
      <w:pPr>
        <w:pStyle w:val="ConsPlusTitle"/>
        <w:jc w:val="center"/>
      </w:pPr>
      <w:r>
        <w:t>ОБРАЗОВАТЕЛЬНОЙ ПРОГРАММЫ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ind w:firstLine="540"/>
        <w:jc w:val="both"/>
      </w:pPr>
      <w:r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санитарными нормами и правилами &lt;7&gt;.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&lt;7&gt; Федеральный </w:t>
      </w:r>
      <w:hyperlink r:id="rId21">
        <w:r>
          <w:rPr>
            <w:color w:val="0000FF"/>
          </w:rPr>
          <w:t>закон</w:t>
        </w:r>
      </w:hyperlink>
      <w:r>
        <w:t xml:space="preserve"> от 30 марта 1999 г. N 52-ФЗ "О санитарно-эпидемиологическом благополучии населения"; санитарные правила </w:t>
      </w:r>
      <w:hyperlink r:id="rId22">
        <w:r>
          <w:rPr>
            <w:color w:val="0000FF"/>
          </w:rPr>
          <w:t>СП 2.4.3648-20</w:t>
        </w:r>
      </w:hyperlink>
      <w: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действующие до 1 января 2027 г.; санитарно-эпидемиологические правила и нормы </w:t>
      </w:r>
      <w:hyperlink r:id="rId23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действующие до 1 января 2027 г.; санитарные правила и нормы </w:t>
      </w:r>
      <w:hyperlink r:id="rId24">
        <w:r>
          <w:rPr>
            <w:color w:val="0000FF"/>
          </w:rPr>
          <w:t>СанПиН 1.2.3685-21</w:t>
        </w:r>
      </w:hyperlink>
      <w: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г.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ind w:firstLine="540"/>
        <w:jc w:val="both"/>
      </w:pPr>
      <w: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Title"/>
        <w:ind w:firstLine="540"/>
        <w:jc w:val="both"/>
        <w:outlineLvl w:val="2"/>
      </w:pPr>
      <w:r>
        <w:t>4.3. Общесистемные требования к условиям реализации образовательной программы: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Title"/>
        <w:ind w:firstLine="540"/>
        <w:jc w:val="both"/>
        <w:outlineLvl w:val="2"/>
      </w:pPr>
      <w:r>
        <w:t>4.4. Требования к материально-техническому и учебно-методическому обеспечению реализации образовательной программы: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г) допускается замена оборудования его виртуальными аналогами;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ж) в качестве основной литературы образовательная организация использует учебники, учебные пособия, предусмотренные ПОП;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</w:t>
      </w:r>
      <w:proofErr w:type="gramStart"/>
      <w:r>
        <w:t>процентов</w:t>
      </w:r>
      <w:proofErr w:type="gramEnd"/>
      <w:r>
        <w:t xml:space="preserve"> обучающихся к цифровой (электронной) библиотеке;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и) обучающимся должен быть обеспечен доступ, в том числе в случае применения </w:t>
      </w:r>
      <w:r>
        <w:lastRenderedPageBreak/>
        <w:t>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Title"/>
        <w:ind w:firstLine="540"/>
        <w:jc w:val="both"/>
        <w:outlineLvl w:val="2"/>
      </w:pPr>
      <w:r>
        <w:t>4.5. Требования к кадровым условиям реализации образовательной программы: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одной из областей профессиональной деятельности, указанных в </w:t>
      </w:r>
      <w:hyperlink w:anchor="P68">
        <w:r>
          <w:rPr>
            <w:color w:val="0000FF"/>
          </w:rPr>
          <w:t>пункте 1.13</w:t>
        </w:r>
      </w:hyperlink>
      <w:r>
        <w:t xml:space="preserve"> ФГОС СПО (имеющих стаж работы в данной профессиональной области не менее трех лет);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одной из областей профессиональной деятельности, указанных в </w:t>
      </w:r>
      <w:hyperlink w:anchor="P68">
        <w:r>
          <w:rPr>
            <w:color w:val="0000FF"/>
          </w:rPr>
          <w:t>пункте 1.13</w:t>
        </w:r>
      </w:hyperlink>
      <w: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одной из областей профессиональной деятельности, указанных в </w:t>
      </w:r>
      <w:hyperlink w:anchor="P68">
        <w:r>
          <w:rPr>
            <w:color w:val="0000FF"/>
          </w:rPr>
          <w:t>пункте 1.13</w:t>
        </w:r>
      </w:hyperlink>
      <w: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Title"/>
        <w:ind w:firstLine="540"/>
        <w:jc w:val="both"/>
        <w:outlineLvl w:val="2"/>
      </w:pPr>
      <w:r>
        <w:t>4.6. Требование к финансовым условиям реализации образовательной программы: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&lt;8&gt; и Федеральным </w:t>
      </w:r>
      <w:hyperlink r:id="rId25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Федерации".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lastRenderedPageBreak/>
        <w:t>--------------------------------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 xml:space="preserve">&lt;8&gt; Бюджетный </w:t>
      </w:r>
      <w:hyperlink r:id="rId26">
        <w:r>
          <w:rPr>
            <w:color w:val="0000FF"/>
          </w:rPr>
          <w:t>кодекс</w:t>
        </w:r>
      </w:hyperlink>
      <w:r>
        <w:t xml:space="preserve"> Российской Федерации.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Title"/>
        <w:ind w:firstLine="540"/>
        <w:jc w:val="both"/>
        <w:outlineLvl w:val="2"/>
      </w:pPr>
      <w:r>
        <w:t>4.7. Требования к применяемым механизмам оценки качества образовательной программы: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 w:rsidR="00C7092C" w:rsidRDefault="00C7092C">
      <w:pPr>
        <w:pStyle w:val="ConsPlusNormal"/>
        <w:spacing w:before="240"/>
        <w:ind w:firstLine="540"/>
        <w:jc w:val="both"/>
      </w:pPr>
      <w:r>
        <w:t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jc w:val="both"/>
      </w:pPr>
    </w:p>
    <w:p w:rsidR="00C7092C" w:rsidRDefault="00C7092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B70F8" w:rsidRDefault="00BB70F8"/>
    <w:sectPr w:rsidR="00BB70F8" w:rsidSect="001D1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92C"/>
    <w:rsid w:val="00392A4E"/>
    <w:rsid w:val="00BB70F8"/>
    <w:rsid w:val="00C7092C"/>
    <w:rsid w:val="00E0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C36A9C-F166-4033-AC11-C71E9DBF6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092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Title">
    <w:name w:val="ConsPlusTitle"/>
    <w:rsid w:val="00C7092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b/>
      <w:lang w:eastAsia="ru-RU"/>
    </w:rPr>
  </w:style>
  <w:style w:type="paragraph" w:customStyle="1" w:styleId="ConsPlusTitlePage">
    <w:name w:val="ConsPlusTitlePage"/>
    <w:rsid w:val="00C7092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7712&amp;dst=82" TargetMode="External"/><Relationship Id="rId13" Type="http://schemas.openxmlformats.org/officeDocument/2006/relationships/hyperlink" Target="https://login.consultant.ru/link/?req=doc&amp;base=LAW&amp;n=494980&amp;dst=774" TargetMode="External"/><Relationship Id="rId18" Type="http://schemas.openxmlformats.org/officeDocument/2006/relationships/hyperlink" Target="https://login.consultant.ru/link/?req=doc&amp;base=LAW&amp;n=214720&amp;dst=100047" TargetMode="External"/><Relationship Id="rId26" Type="http://schemas.openxmlformats.org/officeDocument/2006/relationships/hyperlink" Target="https://login.consultant.ru/link/?req=doc&amp;base=LAW&amp;n=46679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94620" TargetMode="External"/><Relationship Id="rId7" Type="http://schemas.openxmlformats.org/officeDocument/2006/relationships/hyperlink" Target="https://login.consultant.ru/link/?req=doc&amp;base=LAW&amp;n=483826&amp;dst=100010" TargetMode="External"/><Relationship Id="rId12" Type="http://schemas.openxmlformats.org/officeDocument/2006/relationships/hyperlink" Target="https://login.consultant.ru/link/?req=doc&amp;base=LAW&amp;n=470946&amp;dst=4" TargetMode="External"/><Relationship Id="rId17" Type="http://schemas.openxmlformats.org/officeDocument/2006/relationships/hyperlink" Target="https://login.consultant.ru/link/?req=doc&amp;base=LAW&amp;n=214720&amp;dst=100114" TargetMode="External"/><Relationship Id="rId25" Type="http://schemas.openxmlformats.org/officeDocument/2006/relationships/hyperlink" Target="https://login.consultant.ru/link/?req=doc&amp;base=LAW&amp;n=49498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14720&amp;dst=100110" TargetMode="External"/><Relationship Id="rId20" Type="http://schemas.openxmlformats.org/officeDocument/2006/relationships/hyperlink" Target="https://login.consultant.ru/link/?req=doc&amp;base=LAW&amp;n=494980&amp;dst=41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1262&amp;dst=100072" TargetMode="External"/><Relationship Id="rId11" Type="http://schemas.openxmlformats.org/officeDocument/2006/relationships/hyperlink" Target="https://login.consultant.ru/link/?req=doc&amp;base=LAW&amp;n=470946&amp;dst=4" TargetMode="External"/><Relationship Id="rId24" Type="http://schemas.openxmlformats.org/officeDocument/2006/relationships/hyperlink" Target="https://login.consultant.ru/link/?req=doc&amp;base=LAW&amp;n=441707&amp;dst=100137" TargetMode="External"/><Relationship Id="rId5" Type="http://schemas.openxmlformats.org/officeDocument/2006/relationships/hyperlink" Target="https://login.consultant.ru/link/?req=doc&amp;base=LAW&amp;n=488562&amp;dst=100052" TargetMode="External"/><Relationship Id="rId15" Type="http://schemas.openxmlformats.org/officeDocument/2006/relationships/hyperlink" Target="https://login.consultant.ru/link/?req=doc&amp;base=LAW&amp;n=214720&amp;dst=100082" TargetMode="External"/><Relationship Id="rId23" Type="http://schemas.openxmlformats.org/officeDocument/2006/relationships/hyperlink" Target="https://login.consultant.ru/link/?req=doc&amp;base=LAW&amp;n=367564&amp;dst=100037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3177&amp;dst=100022" TargetMode="External"/><Relationship Id="rId19" Type="http://schemas.openxmlformats.org/officeDocument/2006/relationships/hyperlink" Target="https://login.consultant.ru/link/?req=doc&amp;base=LAW&amp;n=470946&amp;dst=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3177&amp;dst=101801" TargetMode="External"/><Relationship Id="rId14" Type="http://schemas.openxmlformats.org/officeDocument/2006/relationships/hyperlink" Target="https://login.consultant.ru/link/?req=doc&amp;base=LAW&amp;n=494980&amp;dst=100249" TargetMode="External"/><Relationship Id="rId22" Type="http://schemas.openxmlformats.org/officeDocument/2006/relationships/hyperlink" Target="https://login.consultant.ru/link/?req=doc&amp;base=LAW&amp;n=371594&amp;dst=100047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4826</Words>
  <Characters>27514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тигра</cp:lastModifiedBy>
  <cp:revision>2</cp:revision>
  <dcterms:created xsi:type="dcterms:W3CDTF">2025-02-07T05:46:00Z</dcterms:created>
  <dcterms:modified xsi:type="dcterms:W3CDTF">2025-02-10T13:49:00Z</dcterms:modified>
</cp:coreProperties>
</file>