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C757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  <w:sz w:val="52"/>
          <w:szCs w:val="52"/>
        </w:rPr>
      </w:pPr>
      <w:r>
        <w:rPr>
          <w:rFonts w:ascii="Calibri" w:hAnsi="Calibri"/>
          <w:position w:val="0"/>
        </w:rPr>
        <w:drawing>
          <wp:inline distT="0" distB="0" distL="0" distR="0">
            <wp:extent cx="3556635" cy="1371600"/>
            <wp:effectExtent l="0" t="0" r="571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32A8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07633DD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0548D8F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56B876D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7DB3DA4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  <w:sz w:val="48"/>
          <w:szCs w:val="48"/>
        </w:rPr>
      </w:pPr>
      <w:r>
        <w:rPr>
          <w:rFonts w:eastAsia="Times New Roman" w:cs="Times New Roman"/>
          <w:color w:val="000000"/>
          <w:sz w:val="48"/>
          <w:szCs w:val="48"/>
        </w:rPr>
        <w:t>Инструкция по охране труда</w:t>
      </w:r>
    </w:p>
    <w:p w14:paraId="2252118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  <w:sz w:val="40"/>
          <w:szCs w:val="40"/>
        </w:rPr>
      </w:pPr>
      <w:r>
        <w:rPr>
          <w:rFonts w:eastAsia="Times New Roman" w:cs="Times New Roman"/>
          <w:color w:val="000000"/>
          <w:sz w:val="40"/>
          <w:szCs w:val="40"/>
        </w:rPr>
        <w:t>компетенции «Предпринимательство»</w:t>
      </w:r>
    </w:p>
    <w:p w14:paraId="417850A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  <w:sz w:val="36"/>
          <w:szCs w:val="36"/>
        </w:rPr>
      </w:pPr>
      <w:r>
        <w:rPr>
          <w:rFonts w:eastAsia="Times New Roman" w:cs="Times New Roman"/>
          <w:sz w:val="36"/>
          <w:szCs w:val="36"/>
        </w:rPr>
        <w:t>Регионального</w:t>
      </w:r>
      <w:r>
        <w:rPr>
          <w:rFonts w:eastAsia="Times New Roman" w:cs="Times New Roman"/>
          <w:color w:val="000000"/>
          <w:sz w:val="36"/>
          <w:szCs w:val="36"/>
        </w:rPr>
        <w:t xml:space="preserve"> этапа Чемпионата по профессиональному мастерству «Профессионалы» в 2025 г.</w:t>
      </w:r>
    </w:p>
    <w:p w14:paraId="4A23C54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hint="default" w:eastAsia="Times New Roman" w:cs="Times New Roman"/>
          <w:color w:val="000000"/>
          <w:sz w:val="36"/>
          <w:szCs w:val="36"/>
          <w:lang w:val="ru-RU"/>
        </w:rPr>
      </w:pPr>
      <w:r>
        <w:rPr>
          <w:rFonts w:eastAsia="Times New Roman" w:cs="Times New Roman"/>
          <w:color w:val="000000"/>
          <w:sz w:val="36"/>
          <w:szCs w:val="36"/>
          <w:lang w:val="ru-RU"/>
        </w:rPr>
        <w:t>Иркутская</w:t>
      </w:r>
      <w:r>
        <w:rPr>
          <w:rFonts w:hint="default" w:eastAsia="Times New Roman" w:cs="Times New Roman"/>
          <w:color w:val="000000"/>
          <w:sz w:val="36"/>
          <w:szCs w:val="36"/>
          <w:lang w:val="ru-RU"/>
        </w:rPr>
        <w:t xml:space="preserve"> область</w:t>
      </w:r>
    </w:p>
    <w:p w14:paraId="3FBBB96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1FC4022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3D9451D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7E136DC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4A66731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575AC58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5058830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6EA7FCE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3D9E4E2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7D295AB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368A77A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791BF7E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4101933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747A41A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1134BFB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2FAB9DA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65CB14A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3AE3815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44E4BA9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15D64B1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590B288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1C1E192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49B7FF2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2025 г.</w:t>
      </w:r>
    </w:p>
    <w:p w14:paraId="32C3688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0D8E178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1F2A568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3645B4B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2010A0E9">
      <w:pPr>
        <w:spacing w:line="240" w:lineRule="auto"/>
        <w:outlineLvl w:val="9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br w:type="page"/>
      </w:r>
    </w:p>
    <w:p w14:paraId="2B326AC8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48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Содержание</w:t>
      </w:r>
    </w:p>
    <w:sdt>
      <w:sdtPr>
        <w:id w:val="-1803526934"/>
        <w:docPartObj>
          <w:docPartGallery w:val="Table of Contents"/>
          <w:docPartUnique/>
        </w:docPartObj>
      </w:sdtPr>
      <w:sdtContent>
        <w:p w14:paraId="48374B21"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r>
            <w:fldChar w:fldCharType="begin"/>
          </w:r>
          <w:r>
            <w:instrText xml:space="preserve"> HYPERLINK \l "_heading=h.30j0zll" \o "#_heading=h.30j0zll" </w:instrText>
          </w:r>
          <w:r>
            <w:fldChar w:fldCharType="separate"/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t>1. Область применения</w:t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fldChar w:fldCharType="end"/>
          </w:r>
          <w:r>
            <w:fldChar w:fldCharType="begin"/>
          </w:r>
          <w:r>
            <w:instrText xml:space="preserve"> HYPERLINK \l "_heading=h.30j0zll" \o "#_heading=h.30j0zll" </w:instrText>
          </w:r>
          <w:r>
            <w:fldChar w:fldCharType="separate"/>
          </w:r>
          <w:r>
            <w:rPr>
              <w:rFonts w:eastAsia="Times New Roman" w:cs="Times New Roman"/>
              <w:color w:val="000000"/>
              <w:sz w:val="28"/>
              <w:szCs w:val="28"/>
            </w:rPr>
            <w:tab/>
          </w:r>
          <w:r>
            <w:rPr>
              <w:rFonts w:eastAsia="Times New Roman" w:cs="Times New Roman"/>
              <w:color w:val="000000"/>
              <w:sz w:val="28"/>
              <w:szCs w:val="28"/>
            </w:rPr>
            <w:t>3</w:t>
          </w:r>
          <w:r>
            <w:rPr>
              <w:rFonts w:eastAsia="Times New Roman" w:cs="Times New Roman"/>
              <w:color w:val="000000"/>
              <w:sz w:val="28"/>
              <w:szCs w:val="28"/>
            </w:rPr>
            <w:fldChar w:fldCharType="end"/>
          </w:r>
        </w:p>
        <w:p w14:paraId="0C4A0DFA"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HYPERLINK \l "_heading=h.1fob9te" \o "#_heading=h.1fob9te" </w:instrText>
          </w:r>
          <w:r>
            <w:fldChar w:fldCharType="separate"/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t>2. Нормативные ссылки</w:t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fldChar w:fldCharType="end"/>
          </w:r>
          <w:r>
            <w:fldChar w:fldCharType="begin"/>
          </w:r>
          <w:r>
            <w:instrText xml:space="preserve"> HYPERLINK \l "_heading=h.1fob9te" \o "#_heading=h.1fob9te" </w:instrText>
          </w:r>
          <w:r>
            <w:fldChar w:fldCharType="separate"/>
          </w:r>
          <w:r>
            <w:rPr>
              <w:rFonts w:eastAsia="Times New Roman" w:cs="Times New Roman"/>
              <w:color w:val="000000"/>
              <w:sz w:val="28"/>
              <w:szCs w:val="28"/>
            </w:rPr>
            <w:tab/>
          </w:r>
          <w:r>
            <w:rPr>
              <w:rFonts w:eastAsia="Times New Roman" w:cs="Times New Roman"/>
              <w:color w:val="000000"/>
              <w:sz w:val="28"/>
              <w:szCs w:val="28"/>
            </w:rPr>
            <w:t>3</w:t>
          </w:r>
          <w:r>
            <w:rPr>
              <w:rFonts w:eastAsia="Times New Roman" w:cs="Times New Roman"/>
              <w:color w:val="000000"/>
              <w:sz w:val="28"/>
              <w:szCs w:val="28"/>
            </w:rPr>
            <w:fldChar w:fldCharType="end"/>
          </w:r>
        </w:p>
        <w:p w14:paraId="1006F342"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HYPERLINK \l "_heading=h.2et92p0" \o "#_heading=h.2et92p0" </w:instrText>
          </w:r>
          <w:r>
            <w:fldChar w:fldCharType="separate"/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t>3. Общие требования охраны труда</w:t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fldChar w:fldCharType="end"/>
          </w:r>
          <w:r>
            <w:fldChar w:fldCharType="begin"/>
          </w:r>
          <w:r>
            <w:instrText xml:space="preserve"> HYPERLINK \l "_heading=h.2et92p0" \o "#_heading=h.2et92p0" </w:instrText>
          </w:r>
          <w:r>
            <w:fldChar w:fldCharType="separate"/>
          </w:r>
          <w:r>
            <w:rPr>
              <w:rFonts w:eastAsia="Times New Roman" w:cs="Times New Roman"/>
              <w:color w:val="000000"/>
              <w:sz w:val="28"/>
              <w:szCs w:val="28"/>
            </w:rPr>
            <w:tab/>
          </w:r>
          <w:r>
            <w:rPr>
              <w:rFonts w:eastAsia="Times New Roman" w:cs="Times New Roman"/>
              <w:color w:val="000000"/>
              <w:sz w:val="28"/>
              <w:szCs w:val="28"/>
            </w:rPr>
            <w:t>3</w:t>
          </w:r>
          <w:r>
            <w:rPr>
              <w:rFonts w:eastAsia="Times New Roman" w:cs="Times New Roman"/>
              <w:color w:val="000000"/>
              <w:sz w:val="28"/>
              <w:szCs w:val="28"/>
            </w:rPr>
            <w:fldChar w:fldCharType="end"/>
          </w:r>
        </w:p>
        <w:p w14:paraId="75AEF0BB"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HYPERLINK \l "_heading=h.tyjcwt" \o "#_heading=h.tyjcwt" </w:instrText>
          </w:r>
          <w:r>
            <w:fldChar w:fldCharType="separate"/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t>4. Требования охраны труда перед началом работы</w:t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fldChar w:fldCharType="end"/>
          </w:r>
          <w:r>
            <w:fldChar w:fldCharType="begin"/>
          </w:r>
          <w:r>
            <w:instrText xml:space="preserve"> HYPERLINK \l "_heading=h.tyjcwt" \o "#_heading=h.tyjcwt" </w:instrText>
          </w:r>
          <w:r>
            <w:fldChar w:fldCharType="separate"/>
          </w:r>
          <w:r>
            <w:rPr>
              <w:rFonts w:eastAsia="Times New Roman" w:cs="Times New Roman"/>
              <w:color w:val="000000"/>
              <w:sz w:val="28"/>
              <w:szCs w:val="28"/>
            </w:rPr>
            <w:tab/>
          </w:r>
          <w:r>
            <w:rPr>
              <w:rFonts w:eastAsia="Times New Roman" w:cs="Times New Roman"/>
              <w:color w:val="000000"/>
              <w:sz w:val="28"/>
              <w:szCs w:val="28"/>
            </w:rPr>
            <w:t>6</w:t>
          </w:r>
          <w:r>
            <w:rPr>
              <w:rFonts w:eastAsia="Times New Roman" w:cs="Times New Roman"/>
              <w:color w:val="000000"/>
              <w:sz w:val="28"/>
              <w:szCs w:val="28"/>
            </w:rPr>
            <w:fldChar w:fldCharType="end"/>
          </w:r>
        </w:p>
        <w:p w14:paraId="53563A42"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HYPERLINK \l "_heading=h.3dy6vkm" \o "#_heading=h.3dy6vkm" </w:instrText>
          </w:r>
          <w:r>
            <w:fldChar w:fldCharType="separate"/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t>5. Требования охраны труда во время работы</w:t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fldChar w:fldCharType="end"/>
          </w:r>
          <w:r>
            <w:fldChar w:fldCharType="begin"/>
          </w:r>
          <w:r>
            <w:instrText xml:space="preserve"> HYPERLINK \l "_heading=h.3dy6vkm" \o "#_heading=h.3dy6vkm" </w:instrText>
          </w:r>
          <w:r>
            <w:fldChar w:fldCharType="separate"/>
          </w:r>
          <w:r>
            <w:rPr>
              <w:rFonts w:eastAsia="Times New Roman" w:cs="Times New Roman"/>
              <w:color w:val="000000"/>
              <w:sz w:val="28"/>
              <w:szCs w:val="28"/>
            </w:rPr>
            <w:tab/>
          </w:r>
          <w:r>
            <w:rPr>
              <w:rFonts w:eastAsia="Times New Roman" w:cs="Times New Roman"/>
              <w:color w:val="000000"/>
              <w:sz w:val="28"/>
              <w:szCs w:val="28"/>
            </w:rPr>
            <w:fldChar w:fldCharType="end"/>
          </w:r>
          <w:r>
            <w:rPr>
              <w:rFonts w:eastAsia="Times New Roman" w:cs="Times New Roman"/>
              <w:color w:val="000000"/>
              <w:sz w:val="28"/>
              <w:szCs w:val="28"/>
            </w:rPr>
            <w:t>8</w:t>
          </w:r>
        </w:p>
        <w:p w14:paraId="2E05C76D"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HYPERLINK \l "_heading=h.1t3h5sf" \o "#_heading=h.1t3h5sf" </w:instrText>
          </w:r>
          <w:r>
            <w:fldChar w:fldCharType="separate"/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t>6. Требования охраны труда в аварийных ситуациях</w:t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fldChar w:fldCharType="end"/>
          </w:r>
          <w:r>
            <w:fldChar w:fldCharType="begin"/>
          </w:r>
          <w:r>
            <w:instrText xml:space="preserve"> HYPERLINK \l "_heading=h.1t3h5sf" \o "#_heading=h.1t3h5sf" </w:instrText>
          </w:r>
          <w:r>
            <w:fldChar w:fldCharType="separate"/>
          </w:r>
          <w:r>
            <w:rPr>
              <w:rFonts w:eastAsia="Times New Roman" w:cs="Times New Roman"/>
              <w:color w:val="000000"/>
              <w:sz w:val="28"/>
              <w:szCs w:val="28"/>
            </w:rPr>
            <w:tab/>
          </w:r>
          <w:r>
            <w:rPr>
              <w:rFonts w:eastAsia="Times New Roman" w:cs="Times New Roman"/>
              <w:color w:val="000000"/>
              <w:sz w:val="28"/>
              <w:szCs w:val="28"/>
            </w:rPr>
            <w:t>9</w:t>
          </w:r>
          <w:r>
            <w:rPr>
              <w:rFonts w:eastAsia="Times New Roman" w:cs="Times New Roman"/>
              <w:color w:val="000000"/>
              <w:sz w:val="28"/>
              <w:szCs w:val="28"/>
            </w:rPr>
            <w:fldChar w:fldCharType="end"/>
          </w:r>
        </w:p>
        <w:p w14:paraId="2EC06515"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HYPERLINK \l "_heading=h.4d34og8" \o "#_heading=h.4d34og8" </w:instrText>
          </w:r>
          <w:r>
            <w:fldChar w:fldCharType="separate"/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t>7. Требования охраны труда по окончании работы</w:t>
          </w:r>
          <w:r>
            <w:rPr>
              <w:rFonts w:eastAsia="Times New Roman" w:cs="Times New Roman"/>
              <w:color w:val="0000FF"/>
              <w:sz w:val="28"/>
              <w:szCs w:val="28"/>
              <w:u w:val="single"/>
            </w:rPr>
            <w:fldChar w:fldCharType="end"/>
          </w:r>
          <w:r>
            <w:fldChar w:fldCharType="begin"/>
          </w:r>
          <w:r>
            <w:instrText xml:space="preserve"> HYPERLINK \l "_heading=h.4d34og8" \o "#_heading=h.4d34og8" </w:instrText>
          </w:r>
          <w:r>
            <w:fldChar w:fldCharType="separate"/>
          </w:r>
          <w:r>
            <w:rPr>
              <w:rFonts w:eastAsia="Times New Roman" w:cs="Times New Roman"/>
              <w:color w:val="000000"/>
              <w:sz w:val="28"/>
              <w:szCs w:val="28"/>
            </w:rPr>
            <w:tab/>
          </w:r>
          <w:r>
            <w:rPr>
              <w:rFonts w:eastAsia="Times New Roman" w:cs="Times New Roman"/>
              <w:color w:val="000000"/>
              <w:sz w:val="28"/>
              <w:szCs w:val="28"/>
            </w:rPr>
            <w:t>1</w:t>
          </w:r>
          <w:r>
            <w:rPr>
              <w:rFonts w:eastAsia="Times New Roman" w:cs="Times New Roman"/>
              <w:color w:val="000000"/>
              <w:sz w:val="28"/>
              <w:szCs w:val="28"/>
            </w:rPr>
            <w:fldChar w:fldCharType="end"/>
          </w:r>
          <w:r>
            <w:fldChar w:fldCharType="end"/>
          </w:r>
          <w:r>
            <w:t>1</w:t>
          </w:r>
        </w:p>
      </w:sdtContent>
    </w:sdt>
    <w:p w14:paraId="25F2B13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rPr>
          <w:rFonts w:eastAsia="Times New Roman" w:cs="Times New Roman"/>
          <w:color w:val="000000"/>
        </w:rPr>
      </w:pPr>
    </w:p>
    <w:p w14:paraId="6A857BF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1DF1D60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61AB8FF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0DBF125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7630112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2D0F458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3DEA708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65ECD9B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4A6A25E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653D5E5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7E58413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1ACB85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0CD2E5A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11C21CC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5ED6CC9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7173B5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7F17A66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4957C51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4731C19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5ADC0E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472AE5D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53C1879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427C3F3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</w:rPr>
      </w:pPr>
    </w:p>
    <w:p w14:paraId="33920F20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0" w:name="_heading=h.gjdgxs"/>
      <w:bookmarkEnd w:id="0"/>
      <w:r>
        <w:rPr/>
        <w:br w:type="page" w:clear="all"/>
      </w:r>
    </w:p>
    <w:p w14:paraId="055B18EB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1" w:name="_heading=h.30j0zll"/>
      <w:bookmarkEnd w:id="1"/>
      <w:r>
        <w:rPr>
          <w:rFonts w:eastAsia="Times New Roman" w:cs="Times New Roman"/>
          <w:b/>
          <w:color w:val="000000"/>
          <w:sz w:val="28"/>
          <w:szCs w:val="28"/>
        </w:rPr>
        <w:t>1. Область применения</w:t>
      </w:r>
    </w:p>
    <w:p w14:paraId="12D79E2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1.1 Настоящие правила разработаны на основе типовой инструкции по охране труда с учетом требований законодательных и иных нормативных правовых актов, содержащих государственные требования охраны труда, правил по охране труда и предназначена для участников Регионального этапа Чемпионата по профессиональному мастерству «Профессионалы» в 2025 г. (далее Чемпионата).</w:t>
      </w:r>
    </w:p>
    <w:p w14:paraId="74DA18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1.2 Выполнение требований настоящих правил обязательны для всех участников Регионального этапа Чемпионата по профессиональному мастерству «Профессионалы» в 2025 г. компетенции «Предпринимательство». </w:t>
      </w:r>
    </w:p>
    <w:p w14:paraId="6DF08F2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color w:val="000000"/>
          <w:sz w:val="28"/>
          <w:szCs w:val="28"/>
        </w:rPr>
      </w:pPr>
      <w:bookmarkStart w:id="2" w:name="_heading=h.1fob9te"/>
      <w:bookmarkEnd w:id="2"/>
    </w:p>
    <w:p w14:paraId="40B03537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2. Нормативные ссылки</w:t>
      </w:r>
    </w:p>
    <w:p w14:paraId="42F6506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 Правила разработаны на основании следующих документов и источников:</w:t>
      </w:r>
    </w:p>
    <w:p w14:paraId="7E78507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2.1.1 Трудовой кодекс Российской Федерации от 30.12.2001 № 197-ФЗ.</w:t>
      </w:r>
    </w:p>
    <w:p w14:paraId="52A055B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2.1.2. Постановление Главного государственного санитарного врача РФ от 02.12.2020 № 40 «Об утверждении санитарных правил СП 2.2.3670-20 «Санитарно-эпидемиологические требования к условиям труда» (Зарегистрировано в Минюсте России 29.12.2020 № 61893) </w:t>
      </w:r>
    </w:p>
    <w:p w14:paraId="3613F6B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rPr>
          <w:rFonts w:eastAsia="Times New Roman" w:cs="Times New Roman"/>
          <w:color w:val="000000"/>
          <w:sz w:val="28"/>
          <w:szCs w:val="28"/>
        </w:rPr>
      </w:pPr>
    </w:p>
    <w:p w14:paraId="36EB8BCA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3" w:name="_heading=h.2et92p0"/>
      <w:bookmarkEnd w:id="3"/>
      <w:r>
        <w:rPr>
          <w:rFonts w:eastAsia="Times New Roman" w:cs="Times New Roman"/>
          <w:b/>
          <w:color w:val="000000"/>
          <w:sz w:val="28"/>
          <w:szCs w:val="28"/>
        </w:rPr>
        <w:t>3. Общие требования охраны труда</w:t>
      </w:r>
    </w:p>
    <w:p w14:paraId="055E93A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3.1. К выполнению конкурсного задания по компетенции «Предпринимательство» допускаются участники Чемпионата, прошедшие вводный инструктаж по охране труда, инструктаж на рабочем месте, обучение и проверку знаний требований охраны труда, имеющие справку об обучении (или работе) в образовательной организации (или на производстве) по специальности (профессии), ознакомленные с инструкцией по охране труда, не имеющие противопоказаний к выполнению заданий по состоянию здоровья и имеющие необходимые навыки по эксплуатации инструмента, приспособлений и оборудования.</w:t>
      </w:r>
    </w:p>
    <w:p w14:paraId="1853749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3.2. Участник Чемпионата обязан:</w:t>
      </w:r>
    </w:p>
    <w:p w14:paraId="54AD8A0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3.2.1. Выполнять только ту работу, которая определена его ролью на Чемпионате.</w:t>
      </w:r>
    </w:p>
    <w:p w14:paraId="2095AE2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3.2.2. Правильно применять средства индивидуальной и коллективной защиты.</w:t>
      </w:r>
    </w:p>
    <w:p w14:paraId="2945CB3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3.3.3. Соблюдать требования охраны труда.</w:t>
      </w:r>
    </w:p>
    <w:p w14:paraId="759171F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3.3.4. Немедленно извещать экспертов о любой ситуации, угрожающей жизни и здоровью участников Чемпионата, о каждом несчастном случае, происшедшем на Чемпионате, или об ухудшении состояния своего здоровья, в том числе о проявлении признаков острого профессионального заболевания (отравления).</w:t>
      </w:r>
    </w:p>
    <w:p w14:paraId="67CDF60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3.3.5. Применять безопасные методы и приёмы выполнения работ и оказания первой помощи, инструктаж по охране труда.</w:t>
      </w:r>
    </w:p>
    <w:p w14:paraId="636480E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3.3. При выполнении работ на участника Чемпионата возможны воздействия следующих опасных и вредных производственных факторов:</w:t>
      </w:r>
    </w:p>
    <w:p w14:paraId="489CB8C3">
      <w:pPr>
        <w:widowControl w:val="0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Физические:</w:t>
      </w:r>
    </w:p>
    <w:p w14:paraId="3F68FAA4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не привычное расположение офисной мебели и оборудования, не стационарное размещение компьютерной техники, флип-чартов и прочего оборудования;</w:t>
      </w:r>
    </w:p>
    <w:p w14:paraId="39642B56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электрический ток при неисправности или отсутствии заземляющих устройств;</w:t>
      </w:r>
    </w:p>
    <w:p w14:paraId="52DF6034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острые края и режущие части оборудования</w:t>
      </w:r>
      <w:bookmarkStart w:id="8" w:name="_GoBack"/>
      <w:bookmarkEnd w:id="8"/>
      <w:r>
        <w:rPr>
          <w:sz w:val="28"/>
          <w:szCs w:val="28"/>
        </w:rPr>
        <w:t>, а также кромка бумаги;</w:t>
      </w:r>
    </w:p>
    <w:p w14:paraId="5E7A7C30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статическое электричество;</w:t>
      </w:r>
    </w:p>
    <w:p w14:paraId="1BFB1A5A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повышенный уровень шума.</w:t>
      </w:r>
    </w:p>
    <w:p w14:paraId="0B2EAB2A">
      <w:pPr>
        <w:widowControl w:val="0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Химические:</w:t>
      </w:r>
    </w:p>
    <w:p w14:paraId="18693424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повышенная концентрация CO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при недостаточной проветриваемости помещений;</w:t>
      </w:r>
    </w:p>
    <w:p w14:paraId="1702004E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пары, газы и аэрозоли, выделяющиеся при работе с копировальной и печатающей оргтехникой в плохо проветриваемых помещениях;</w:t>
      </w:r>
    </w:p>
    <w:p w14:paraId="42D25ECB">
      <w:pPr>
        <w:widowControl w:val="0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Психологические:</w:t>
      </w:r>
    </w:p>
    <w:p w14:paraId="1B8B5CE7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чрезмерное напряжение внимания, усиленная нагрузка на зрение, напряжение мышц тела;</w:t>
      </w:r>
    </w:p>
    <w:p w14:paraId="4C77C483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неожиданные вопросы и «стрессовая» ситуация в ходе выполнения модулей и специальных (секретных) заданий;</w:t>
      </w:r>
    </w:p>
    <w:p w14:paraId="29BAB114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монотонность выполнения работ.</w:t>
      </w:r>
    </w:p>
    <w:p w14:paraId="5B81380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3.4. Все участники Чемпионата (эксперты и конкурсанты) должны применять средства индивидуальной защиты:</w:t>
      </w:r>
    </w:p>
    <w:p w14:paraId="1A5C9414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одноразовые медицинские маски;</w:t>
      </w:r>
    </w:p>
    <w:p w14:paraId="6CA98E1E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одноразовые перчатки (по желанию), санитайзеры.</w:t>
      </w:r>
    </w:p>
    <w:p w14:paraId="0750275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3.5. Участникам Чемпионата необходимо знать и соблюдать требования по охране труда, пожарной безопасности, производственной санитарии.</w:t>
      </w:r>
    </w:p>
    <w:p w14:paraId="2901EC3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3.6. Конкурсные работы должны проводиться в соответствии с технической документацией задания Чемпионата.</w:t>
      </w:r>
    </w:p>
    <w:p w14:paraId="49CF583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3.7. Участники обязаны соблюдать действующие на Чемпионате правила внутреннего распорядка и графики работы, которыми предусматриваются: время начала и окончания работы, перерывы для отдыха и питания и другие вопросы использования времени Чемпионата. </w:t>
      </w:r>
    </w:p>
    <w:p w14:paraId="634EC11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3.8. В случаях травмирования или недомогания, необходимо прекратить работу, известить об этом Главного эксперта и эксперта-наставника, и обратиться в медицинское учреждение. </w:t>
      </w:r>
      <w:r>
        <w:rPr>
          <w:sz w:val="28"/>
          <w:szCs w:val="28"/>
        </w:rPr>
        <w:t xml:space="preserve">Главный эксперт принимает решение о назначении дополнительного времени для участия. В случае отстранения участника от дальнейшего участия в Чемпионате ввиду болезни или несчастного случая, он получит баллы за любую завершенную работу. </w:t>
      </w:r>
    </w:p>
    <w:p w14:paraId="01AACC6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>Вышеуказанные случаи подлежат обязательной регистрации в Форме регистрации несчастных случаев.</w:t>
      </w:r>
    </w:p>
    <w:p w14:paraId="1B3B672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3.9. Лица, не соблюдающие настоящие Правила, привлекаются к ответственности согласно действующему законодательству.</w:t>
      </w:r>
    </w:p>
    <w:p w14:paraId="50F1802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3.10. Несоблюдение участником норм и правил охраны труда ведет к потере баллов. Постоянное нарушение норм безопасности может привести к временному или полному отстранению от участия в Чемпионате.</w:t>
      </w:r>
    </w:p>
    <w:p w14:paraId="5BCD9C4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40" w:lineRule="auto"/>
        <w:ind w:firstLine="709"/>
        <w:jc w:val="both"/>
        <w:rPr>
          <w:rFonts w:eastAsia="Times New Roman" w:cs="Times New Roman"/>
          <w:color w:val="000000"/>
        </w:rPr>
      </w:pPr>
      <w:bookmarkStart w:id="4" w:name="_heading=h.tyjcwt"/>
      <w:bookmarkEnd w:id="4"/>
    </w:p>
    <w:p w14:paraId="79F20ACA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4. Требования охраны труда перед началом работы</w:t>
      </w:r>
    </w:p>
    <w:p w14:paraId="1FE5913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bookmarkStart w:id="5" w:name="_heading=h.3dy6vkm"/>
      <w:bookmarkEnd w:id="5"/>
      <w:r>
        <w:rPr>
          <w:sz w:val="28"/>
          <w:szCs w:val="28"/>
        </w:rPr>
        <w:t>Все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медицинских кабинетов, питьевой воды, подготовить рабочее место в соответствии с инфраструктурным листом.</w:t>
      </w:r>
    </w:p>
    <w:p w14:paraId="44FFAC4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 чемпионата. </w:t>
      </w:r>
    </w:p>
    <w:p w14:paraId="1F81622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Подготовить рабочее место:</w:t>
      </w:r>
    </w:p>
    <w:p w14:paraId="419F791D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проверить работоспособность ноутбука или персонального компьютера;</w:t>
      </w:r>
    </w:p>
    <w:p w14:paraId="1DF62C8C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проверить возможность ввода и вывода информации с помощью принтера или МФУ;</w:t>
      </w:r>
    </w:p>
    <w:p w14:paraId="0817B6A1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проверить наличие на рабочем месте стол и стул;</w:t>
      </w:r>
    </w:p>
    <w:p w14:paraId="10C5E1B5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проверить наличие на рабочем столе канцелярских принадлежностей;</w:t>
      </w:r>
    </w:p>
    <w:p w14:paraId="12709E78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ознакомится с рабочей зоной конкурсной площадки.</w:t>
      </w:r>
    </w:p>
    <w:p w14:paraId="057C208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Подготовить оборудование, разрешенное к самостоятельной работе:</w:t>
      </w:r>
    </w:p>
    <w:tbl>
      <w:tblPr>
        <w:tblStyle w:val="12"/>
        <w:tblW w:w="100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0"/>
        <w:gridCol w:w="6668"/>
      </w:tblGrid>
      <w:tr w14:paraId="3A0EA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8F16E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</w:p>
          <w:p w14:paraId="3A52AB47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оборудования</w:t>
            </w:r>
          </w:p>
        </w:tc>
        <w:tc>
          <w:tcPr>
            <w:tcW w:w="6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1A3FA">
            <w:pPr>
              <w:widowControl w:val="0"/>
              <w:ind w:firstLine="3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Правила подготовки к выполнению </w:t>
            </w:r>
          </w:p>
          <w:p w14:paraId="587C77D9">
            <w:pPr>
              <w:widowControl w:val="0"/>
              <w:ind w:firstLine="3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конкурсного задания</w:t>
            </w:r>
          </w:p>
        </w:tc>
      </w:tr>
      <w:tr w14:paraId="79526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08EA2">
            <w:pPr>
              <w:widowControl w:val="0"/>
              <w:tabs>
                <w:tab w:val="left" w:pos="14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Персональный компьютер в сборе или ноутбук</w:t>
            </w:r>
          </w:p>
        </w:tc>
        <w:tc>
          <w:tcPr>
            <w:tcW w:w="6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CCF1E">
            <w:pPr>
              <w:widowControl w:val="0"/>
              <w:ind w:firstLine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 исправность оборудования и приспособлений:</w:t>
            </w:r>
          </w:p>
          <w:p w14:paraId="23A28BD0">
            <w:pPr>
              <w:pStyle w:val="204"/>
              <w:widowControl w:val="0"/>
              <w:numPr>
                <w:ilvl w:val="0"/>
                <w:numId w:val="2"/>
              </w:numPr>
              <w:spacing w:line="276" w:lineRule="auto"/>
              <w:ind w:left="316" w:hanging="284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исправность работы мыши и клавиатуры;</w:t>
            </w:r>
          </w:p>
          <w:p w14:paraId="2DDA8334">
            <w:pPr>
              <w:pStyle w:val="204"/>
              <w:widowControl w:val="0"/>
              <w:numPr>
                <w:ilvl w:val="0"/>
                <w:numId w:val="2"/>
              </w:numPr>
              <w:spacing w:line="276" w:lineRule="auto"/>
              <w:ind w:left="316" w:hanging="284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исправность цветопередачи монитора;</w:t>
            </w:r>
          </w:p>
          <w:p w14:paraId="32E83729">
            <w:pPr>
              <w:pStyle w:val="204"/>
              <w:widowControl w:val="0"/>
              <w:numPr>
                <w:ilvl w:val="0"/>
                <w:numId w:val="2"/>
              </w:numPr>
              <w:spacing w:line="276" w:lineRule="auto"/>
              <w:ind w:left="316" w:hanging="284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розеток и/или иных проводов в зоне досягаемости;</w:t>
            </w:r>
          </w:p>
          <w:p w14:paraId="1198EE7F">
            <w:pPr>
              <w:pStyle w:val="204"/>
              <w:widowControl w:val="0"/>
              <w:numPr>
                <w:ilvl w:val="0"/>
                <w:numId w:val="2"/>
              </w:numPr>
              <w:spacing w:line="276" w:lineRule="auto"/>
              <w:ind w:left="316" w:hanging="284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скорость работы при полной загруженности ПК (ноутбука); </w:t>
            </w:r>
          </w:p>
          <w:p w14:paraId="3302465E">
            <w:pPr>
              <w:pStyle w:val="204"/>
              <w:widowControl w:val="0"/>
              <w:numPr>
                <w:ilvl w:val="0"/>
                <w:numId w:val="2"/>
              </w:numPr>
              <w:spacing w:line="276" w:lineRule="auto"/>
              <w:ind w:left="316" w:hanging="284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следить за тем, чтобы вентиляционные отверстия устройств ничем не были закрыты.</w:t>
            </w:r>
          </w:p>
        </w:tc>
      </w:tr>
      <w:tr w14:paraId="0D43C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81FDDB">
            <w:pPr>
              <w:widowControl w:val="0"/>
              <w:tabs>
                <w:tab w:val="left" w:pos="14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Периферийные устройства</w:t>
            </w:r>
          </w:p>
        </w:tc>
        <w:tc>
          <w:tcPr>
            <w:tcW w:w="6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4A3FB">
            <w:pPr>
              <w:widowControl w:val="0"/>
              <w:ind w:firstLine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руководством технического эксперта проверить работу периферийных устройств (при наличии).</w:t>
            </w:r>
          </w:p>
        </w:tc>
      </w:tr>
      <w:tr w14:paraId="0E8E1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BC6837">
            <w:pPr>
              <w:widowControl w:val="0"/>
              <w:tabs>
                <w:tab w:val="left" w:pos="14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Принтер или МФУ</w:t>
            </w:r>
          </w:p>
        </w:tc>
        <w:tc>
          <w:tcPr>
            <w:tcW w:w="6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6FBC6">
            <w:pPr>
              <w:widowControl w:val="0"/>
              <w:ind w:firstLine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руководством технического эксперта:</w:t>
            </w:r>
          </w:p>
          <w:p w14:paraId="6F257CB8">
            <w:pPr>
              <w:pStyle w:val="204"/>
              <w:widowControl w:val="0"/>
              <w:numPr>
                <w:ilvl w:val="0"/>
                <w:numId w:val="2"/>
              </w:numPr>
              <w:spacing w:line="276" w:lineRule="auto"/>
              <w:ind w:left="316" w:hanging="284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 синхронность работы ПК (ноутбука) и МФУ (принтера);</w:t>
            </w:r>
          </w:p>
          <w:p w14:paraId="0C2E9BFA">
            <w:pPr>
              <w:pStyle w:val="204"/>
              <w:widowControl w:val="0"/>
              <w:numPr>
                <w:ilvl w:val="0"/>
                <w:numId w:val="2"/>
              </w:numPr>
              <w:spacing w:line="276" w:lineRule="auto"/>
              <w:ind w:left="316" w:hanging="284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совершить пробный запуск тестовой печати;</w:t>
            </w:r>
          </w:p>
          <w:p w14:paraId="7322867B">
            <w:pPr>
              <w:pStyle w:val="204"/>
              <w:widowControl w:val="0"/>
              <w:numPr>
                <w:ilvl w:val="0"/>
                <w:numId w:val="2"/>
              </w:numPr>
              <w:spacing w:line="276" w:lineRule="auto"/>
              <w:ind w:left="316" w:hanging="284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 наличие тонера и бумаги.</w:t>
            </w:r>
          </w:p>
        </w:tc>
      </w:tr>
      <w:tr w14:paraId="58E7C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FB273">
            <w:pPr>
              <w:widowControl w:val="0"/>
              <w:tabs>
                <w:tab w:val="left" w:pos="14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Накопители данных (флеш-накопители)</w:t>
            </w:r>
          </w:p>
        </w:tc>
        <w:tc>
          <w:tcPr>
            <w:tcW w:w="6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DDD83">
            <w:pPr>
              <w:widowControl w:val="0"/>
              <w:ind w:firstLine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 возможность записи, чтения и сохранения информации на флеш-накопителях</w:t>
            </w:r>
          </w:p>
        </w:tc>
      </w:tr>
      <w:tr w14:paraId="735E9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EE700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Офисный стул, стол, положение монитора (ноутбука)</w:t>
            </w:r>
          </w:p>
        </w:tc>
        <w:tc>
          <w:tcPr>
            <w:tcW w:w="6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D3E60">
            <w:pPr>
              <w:widowControl w:val="0"/>
              <w:ind w:firstLine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Отрегулировать угол наклона экрана монитора, положения клавиатуры, высоту стула и стола в целях исключения неудобных поз и длительных напряжений тела (монитор должен находиться на расстоянии не менее 50 см от глаз (оптимально 60-70 см);</w:t>
            </w:r>
          </w:p>
        </w:tc>
      </w:tr>
      <w:tr w14:paraId="423D8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658B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Флип-чарт</w:t>
            </w:r>
          </w:p>
        </w:tc>
        <w:tc>
          <w:tcPr>
            <w:tcW w:w="6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452231">
            <w:pPr>
              <w:widowControl w:val="0"/>
              <w:ind w:firstLine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 надежность установки флип-чарта, наличие комплекта маркеров</w:t>
            </w:r>
          </w:p>
        </w:tc>
      </w:tr>
    </w:tbl>
    <w:p w14:paraId="4E2B83D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Оборудование, не разрешенное к самостоятельному использованию, к выполнению конкурсных заданий подготавливает </w:t>
      </w:r>
      <w:r>
        <w:rPr>
          <w:sz w:val="28"/>
          <w:szCs w:val="28"/>
          <w:lang w:val="ru-RU"/>
        </w:rPr>
        <w:t>технический</w:t>
      </w:r>
      <w:r>
        <w:rPr>
          <w:rFonts w:hint="default"/>
          <w:sz w:val="28"/>
          <w:szCs w:val="28"/>
          <w:lang w:val="ru-RU"/>
        </w:rPr>
        <w:t xml:space="preserve"> эксперт</w:t>
      </w:r>
      <w:r>
        <w:rPr>
          <w:sz w:val="28"/>
          <w:szCs w:val="28"/>
        </w:rPr>
        <w:t xml:space="preserve">, участники могут принимать посильное участие в подготовке под непосредственным руководством и в присутствии </w:t>
      </w:r>
      <w:r>
        <w:rPr>
          <w:sz w:val="28"/>
          <w:szCs w:val="28"/>
          <w:lang w:val="ru-RU"/>
        </w:rPr>
        <w:t>технического</w:t>
      </w:r>
      <w:r>
        <w:rPr>
          <w:rFonts w:hint="default"/>
          <w:sz w:val="28"/>
          <w:szCs w:val="28"/>
          <w:lang w:val="ru-RU"/>
        </w:rPr>
        <w:t xml:space="preserve"> эксперта</w:t>
      </w:r>
      <w:r>
        <w:rPr>
          <w:sz w:val="28"/>
          <w:szCs w:val="28"/>
        </w:rPr>
        <w:t>.</w:t>
      </w:r>
    </w:p>
    <w:p w14:paraId="766E824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В день проведения конкурса, изучить содержание и порядок проведения модулей конкурсного задания, а также безопасные приемы их выполнения. Проверить пригодность оборудования визуальным осмотром.</w:t>
      </w:r>
    </w:p>
    <w:p w14:paraId="088A066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Ежедневно, перед началом выполнения конкурсного задания, в процессе подготовки рабочего места:</w:t>
      </w:r>
    </w:p>
    <w:p w14:paraId="3224D1C6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осмотреть и привести в порядок рабочее место, наличие средств индивидуальной защиты;</w:t>
      </w:r>
    </w:p>
    <w:p w14:paraId="4990546C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убедиться в достаточности освещенности;</w:t>
      </w:r>
    </w:p>
    <w:p w14:paraId="4103959E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проверить (визуально) правильность подключения оборудования в электросеть;</w:t>
      </w:r>
    </w:p>
    <w:p w14:paraId="418F94D5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 xml:space="preserve">проверить правильность установки стола, стула, положения оборудования и инструмента, при необходимости, обратиться к </w:t>
      </w:r>
      <w:r>
        <w:rPr>
          <w:sz w:val="28"/>
          <w:szCs w:val="28"/>
          <w:lang w:val="ru-RU"/>
        </w:rPr>
        <w:t>техническому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эксперту для устранения неисправностей в целях исключения неудобных поз и длительных напряжений тела.</w:t>
      </w:r>
    </w:p>
    <w:p w14:paraId="3C4D7F5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Подготовить необходимые для работы материалы, канцелярские принадлежности, приспособления, и разложить их на свои места, убрать с рабочего стола все лишнее.</w:t>
      </w:r>
    </w:p>
    <w:p w14:paraId="0892209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4.6. Участнику запрещается приступать к выполнению конкурсного задания при обнаружении неисправности оборудования. О замеченных недостатках и неисправностях необходимо немедленно сообщить </w:t>
      </w:r>
      <w:r>
        <w:rPr>
          <w:sz w:val="28"/>
          <w:szCs w:val="28"/>
          <w:lang w:val="ru-RU"/>
        </w:rPr>
        <w:t>техническому</w:t>
      </w:r>
      <w:r>
        <w:rPr>
          <w:rFonts w:hint="default"/>
          <w:sz w:val="28"/>
          <w:szCs w:val="28"/>
          <w:lang w:val="ru-RU"/>
        </w:rPr>
        <w:t xml:space="preserve"> эксперту</w:t>
      </w:r>
      <w:r>
        <w:rPr>
          <w:sz w:val="28"/>
          <w:szCs w:val="28"/>
        </w:rPr>
        <w:t xml:space="preserve"> и до устранения неполадок к конкурсному заданию не приступать.</w:t>
      </w:r>
    </w:p>
    <w:p w14:paraId="68F8AA86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5. Требования охраны труда во время выполнения работ</w:t>
      </w:r>
    </w:p>
    <w:p w14:paraId="120BFA5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bookmarkStart w:id="6" w:name="_heading=h.1t3h5sf"/>
      <w:bookmarkEnd w:id="6"/>
      <w:r>
        <w:rPr>
          <w:sz w:val="28"/>
          <w:szCs w:val="28"/>
        </w:rPr>
        <w:t>5.1. 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tbl>
      <w:tblPr>
        <w:tblStyle w:val="12"/>
        <w:tblW w:w="991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5"/>
        <w:gridCol w:w="7783"/>
      </w:tblGrid>
      <w:tr w14:paraId="79A83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04A2D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7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A875F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Требования безопасности</w:t>
            </w:r>
          </w:p>
        </w:tc>
      </w:tr>
      <w:tr w14:paraId="3FED1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F993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Компьютер в сборе (монитор, мышь, клавиатура) или  ноутбук</w:t>
            </w:r>
          </w:p>
        </w:tc>
        <w:tc>
          <w:tcPr>
            <w:tcW w:w="7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54AC44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 время работы:</w:t>
            </w:r>
          </w:p>
          <w:p w14:paraId="456180C6">
            <w:pPr>
              <w:pStyle w:val="204"/>
              <w:widowControl w:val="0"/>
              <w:numPr>
                <w:ilvl w:val="0"/>
                <w:numId w:val="3"/>
              </w:numPr>
              <w:tabs>
                <w:tab w:val="left" w:pos="275"/>
              </w:tabs>
              <w:spacing w:line="360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аккуратно обращаться с проводами;</w:t>
            </w:r>
          </w:p>
          <w:p w14:paraId="4895FE20">
            <w:pPr>
              <w:pStyle w:val="204"/>
              <w:widowControl w:val="0"/>
              <w:numPr>
                <w:ilvl w:val="0"/>
                <w:numId w:val="3"/>
              </w:numPr>
              <w:tabs>
                <w:tab w:val="left" w:pos="275"/>
              </w:tabs>
              <w:spacing w:line="360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запрещается работать с неисправным компьютером/ноутбуком;</w:t>
            </w:r>
          </w:p>
          <w:p w14:paraId="3D42F56E">
            <w:pPr>
              <w:pStyle w:val="204"/>
              <w:widowControl w:val="0"/>
              <w:numPr>
                <w:ilvl w:val="0"/>
                <w:numId w:val="3"/>
              </w:numPr>
              <w:tabs>
                <w:tab w:val="left" w:pos="275"/>
              </w:tabs>
              <w:spacing w:line="360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нельзя заниматься очисткой компьютера/ноутбука, когда он находится под напряжением;</w:t>
            </w:r>
          </w:p>
          <w:p w14:paraId="4CCE54B4">
            <w:pPr>
              <w:pStyle w:val="204"/>
              <w:widowControl w:val="0"/>
              <w:numPr>
                <w:ilvl w:val="0"/>
                <w:numId w:val="3"/>
              </w:numPr>
              <w:tabs>
                <w:tab w:val="left" w:pos="275"/>
              </w:tabs>
              <w:spacing w:line="360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недопустимо самостоятельно проводить ремонт ПК (ноутбука) и оргтехники при отсутствии специальных навыков;</w:t>
            </w:r>
          </w:p>
          <w:p w14:paraId="22944BC5">
            <w:pPr>
              <w:pStyle w:val="204"/>
              <w:widowControl w:val="0"/>
              <w:numPr>
                <w:ilvl w:val="0"/>
                <w:numId w:val="3"/>
              </w:numPr>
              <w:tabs>
                <w:tab w:val="left" w:pos="275"/>
              </w:tabs>
              <w:spacing w:line="360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нельзя располагать рядом с компьютером/ноутбуком жидкости, а также работать с мокрыми руками;</w:t>
            </w:r>
          </w:p>
          <w:p w14:paraId="2E2B77E5">
            <w:pPr>
              <w:pStyle w:val="204"/>
              <w:widowControl w:val="0"/>
              <w:numPr>
                <w:ilvl w:val="0"/>
                <w:numId w:val="3"/>
              </w:numPr>
              <w:tabs>
                <w:tab w:val="left" w:pos="275"/>
              </w:tabs>
              <w:spacing w:line="360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следить, чтобы изображение на экранах видеомониторов было стабильным, ясным и предельно четким, не иметь мерцаний символов и фона, на экранах не должно быть бликов и отражений светильников, окон и окружающих предметов;</w:t>
            </w:r>
          </w:p>
          <w:p w14:paraId="54A34FED">
            <w:pPr>
              <w:pStyle w:val="204"/>
              <w:widowControl w:val="0"/>
              <w:numPr>
                <w:ilvl w:val="0"/>
                <w:numId w:val="3"/>
              </w:numPr>
              <w:tabs>
                <w:tab w:val="left" w:pos="275"/>
              </w:tabs>
              <w:spacing w:line="360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суммарное время непосредственной работы с персональным компьютером и другой оргтехникой в течение дня должно быть не более 6 часов;</w:t>
            </w:r>
          </w:p>
          <w:p w14:paraId="183E18BB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запрещается прикасаться к задней панели персонального компьютера и другой оргтехники, монитора при включенном питании;</w:t>
            </w:r>
          </w:p>
          <w:p w14:paraId="21478B69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нельзя допускать попадание влаги на поверхность монитора, рабочую поверхность клавиатуры, дисководов, принтеров и других устройств;</w:t>
            </w:r>
          </w:p>
          <w:p w14:paraId="50BC0DF1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нельзя производить самостоятельно вскрытие и ремонт оборудования;</w:t>
            </w:r>
          </w:p>
          <w:p w14:paraId="596FA560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запрещается переключать разъемы интерфейсных кабелей периферийных устройств;</w:t>
            </w:r>
          </w:p>
          <w:p w14:paraId="2B283103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запрещается загромождение верхних панелей устройств бумагами и посторонними предметами.</w:t>
            </w:r>
          </w:p>
        </w:tc>
      </w:tr>
      <w:tr w14:paraId="0CB94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3BFC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white"/>
              </w:rPr>
              <w:t xml:space="preserve">Принтер </w:t>
            </w:r>
            <w:r>
              <w:rPr>
                <w:sz w:val="28"/>
                <w:szCs w:val="28"/>
              </w:rPr>
              <w:t>(МФУ)</w:t>
            </w:r>
          </w:p>
        </w:tc>
        <w:tc>
          <w:tcPr>
            <w:tcW w:w="7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FE11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Электробезопасность</w:t>
            </w:r>
          </w:p>
          <w:p w14:paraId="648B4656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располагать предметы на шнурах питания;</w:t>
            </w:r>
          </w:p>
          <w:p w14:paraId="4E162B4E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закрывать вентиляционные отверстия, эти отверстия предотвращают перегрев принтера;</w:t>
            </w:r>
          </w:p>
          <w:p w14:paraId="438835EA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допускать попадания в принтер скобок и скрепок для бумаги;</w:t>
            </w:r>
          </w:p>
          <w:p w14:paraId="5B891F08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вставлять никаких предметов в щели и отверстия принтера, контакт с высоким напряжением или короткое замыкание могут привести к возгоранию или поражению электрическим током.</w:t>
            </w:r>
          </w:p>
          <w:p w14:paraId="36786B9F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удалении застрявшей бумаги необходимо отключать питание.</w:t>
            </w:r>
          </w:p>
          <w:p w14:paraId="44C573F3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возникновения необычного шума или запаха:</w:t>
            </w:r>
          </w:p>
          <w:p w14:paraId="65FE0C2A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немедленно выключить принтер (МФУ).</w:t>
            </w:r>
          </w:p>
          <w:p w14:paraId="5E258DC2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вынуть вилку шнура питания из розетки.</w:t>
            </w:r>
          </w:p>
          <w:p w14:paraId="61BC37E5">
            <w:pPr>
              <w:pStyle w:val="204"/>
              <w:widowControl w:val="0"/>
              <w:numPr>
                <w:ilvl w:val="0"/>
                <w:numId w:val="3"/>
              </w:numPr>
              <w:spacing w:line="276" w:lineRule="auto"/>
              <w:ind w:left="275" w:hanging="283"/>
              <w:contextualSpacing/>
              <w:jc w:val="both"/>
              <w:outlineLvl w:val="9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>для устранения неполадок сообщить эксперту.</w:t>
            </w:r>
          </w:p>
        </w:tc>
      </w:tr>
    </w:tbl>
    <w:p w14:paraId="3AC03B5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При выполнении конкурсных заданий и уборке рабочих мест:</w:t>
      </w:r>
    </w:p>
    <w:p w14:paraId="7BB1F077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необходимо быть внимательным, не отвлекаться посторонними разговорами и делами, не отвлекать других участников;</w:t>
      </w:r>
    </w:p>
    <w:p w14:paraId="74630056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соблюдать настоящую инструкцию;</w:t>
      </w:r>
    </w:p>
    <w:p w14:paraId="1510CDDE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соблюдать правила эксплуатации оборудования, не подвергать его механическим ударам, не допускать падений;</w:t>
      </w:r>
    </w:p>
    <w:p w14:paraId="40B68368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поддерживать порядок и чистоту на рабочем месте;</w:t>
      </w:r>
    </w:p>
    <w:p w14:paraId="34DC0ABE">
      <w:pPr>
        <w:pStyle w:val="204"/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outlineLvl w:val="9"/>
        <w:rPr>
          <w:sz w:val="28"/>
          <w:szCs w:val="28"/>
        </w:rPr>
      </w:pPr>
      <w:r>
        <w:rPr>
          <w:sz w:val="28"/>
          <w:szCs w:val="28"/>
        </w:rPr>
        <w:t>выполнять конкурсные задания только исправным оборудованием.</w:t>
      </w:r>
    </w:p>
    <w:p w14:paraId="7894EC5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При неисправности оборудования – прекратить выполнение конкурсного задания и сообщить об этом </w:t>
      </w:r>
      <w:r>
        <w:rPr>
          <w:sz w:val="28"/>
          <w:szCs w:val="28"/>
          <w:lang w:val="ru-RU"/>
        </w:rPr>
        <w:t>техническому</w:t>
      </w:r>
      <w:r>
        <w:rPr>
          <w:rFonts w:hint="default"/>
          <w:sz w:val="28"/>
          <w:szCs w:val="28"/>
          <w:lang w:val="ru-RU"/>
        </w:rPr>
        <w:t xml:space="preserve"> эксперту</w:t>
      </w:r>
      <w:r>
        <w:rPr>
          <w:sz w:val="28"/>
          <w:szCs w:val="28"/>
        </w:rPr>
        <w:t>.</w:t>
      </w:r>
    </w:p>
    <w:p w14:paraId="749324D9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ascii="Cambria" w:hAnsi="Cambria" w:eastAsia="Cambria" w:cs="Cambria"/>
          <w:b/>
          <w:color w:val="000000"/>
          <w:sz w:val="28"/>
          <w:szCs w:val="28"/>
        </w:rPr>
      </w:pPr>
      <w:r>
        <w:rPr>
          <w:rFonts w:ascii="Cambria" w:hAnsi="Cambria" w:eastAsia="Cambria" w:cs="Cambria"/>
          <w:b/>
          <w:color w:val="000000"/>
          <w:sz w:val="28"/>
          <w:szCs w:val="28"/>
        </w:rPr>
        <w:t>6. Требования охраны труда в аварийных ситуациях</w:t>
      </w:r>
    </w:p>
    <w:p w14:paraId="1A2A0CE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bookmarkStart w:id="7" w:name="_heading=h.4d34og8"/>
      <w:bookmarkEnd w:id="7"/>
      <w:r>
        <w:rPr>
          <w:sz w:val="28"/>
          <w:szCs w:val="28"/>
        </w:rPr>
        <w:t>6.1.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14:paraId="5A3D544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В случае возникновения у участника плохого самочувствия или получения травмы сообщить об этом </w:t>
      </w:r>
      <w:r>
        <w:rPr>
          <w:sz w:val="28"/>
          <w:szCs w:val="28"/>
          <w:lang w:val="ru-RU"/>
        </w:rPr>
        <w:t>Главному</w:t>
      </w:r>
      <w:r>
        <w:rPr>
          <w:rFonts w:hint="default"/>
          <w:sz w:val="28"/>
          <w:szCs w:val="28"/>
          <w:lang w:val="ru-RU"/>
        </w:rPr>
        <w:t xml:space="preserve"> эксперту</w:t>
      </w:r>
      <w:r>
        <w:rPr>
          <w:sz w:val="28"/>
          <w:szCs w:val="28"/>
        </w:rPr>
        <w:t>.</w:t>
      </w:r>
    </w:p>
    <w:p w14:paraId="7DD8072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При поражении участника электрическим током немедленно отключить электросеть, оказать первую помощь (самопомощь) пострадавшему, сообщить </w:t>
      </w:r>
      <w:r>
        <w:rPr>
          <w:sz w:val="28"/>
          <w:szCs w:val="28"/>
          <w:lang w:val="ru-RU"/>
        </w:rPr>
        <w:t>Главному</w:t>
      </w:r>
      <w:r>
        <w:rPr>
          <w:rFonts w:hint="default"/>
          <w:sz w:val="28"/>
          <w:szCs w:val="28"/>
          <w:lang w:val="ru-RU"/>
        </w:rPr>
        <w:t xml:space="preserve"> эксперту</w:t>
      </w:r>
      <w:r>
        <w:rPr>
          <w:sz w:val="28"/>
          <w:szCs w:val="28"/>
        </w:rPr>
        <w:t>, при необходимости обратиться к врачу.</w:t>
      </w:r>
    </w:p>
    <w:p w14:paraId="6396722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При несчастном случае или внезапном заболевании необходимо в первую очередь отключить питание электрооборудования, 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14:paraId="1DA7057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14:paraId="2B8A376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обнаружении очага возгорания на конкурсной площадке необходимо любым возможным способом постараться загасить пламя в «зародыше» с обязательным соблюдением мер личной безопасности.</w:t>
      </w:r>
    </w:p>
    <w:p w14:paraId="707CE7B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14:paraId="02D38F7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14:paraId="09336C2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 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14:paraId="662042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14:paraId="7EB4E4F3">
      <w:pPr>
        <w:keepNext/>
        <w:keepLines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ascii="Cambria" w:hAnsi="Cambria" w:eastAsia="Cambria" w:cs="Cambria"/>
          <w:b/>
          <w:color w:val="000000"/>
          <w:sz w:val="28"/>
          <w:szCs w:val="28"/>
        </w:rPr>
        <w:t>7. Требования охраны труда по окончании работы</w:t>
      </w:r>
    </w:p>
    <w:p w14:paraId="43CEB47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окончания работ каждый участник обязан:</w:t>
      </w:r>
    </w:p>
    <w:p w14:paraId="6BED462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Привести в порядок рабочее место. </w:t>
      </w:r>
    </w:p>
    <w:p w14:paraId="08A8ACE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Отключить оборудование от сети.</w:t>
      </w:r>
    </w:p>
    <w:p w14:paraId="49FE851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Сообщить </w:t>
      </w:r>
      <w:r>
        <w:rPr>
          <w:sz w:val="28"/>
          <w:szCs w:val="28"/>
          <w:lang w:val="ru-RU"/>
        </w:rPr>
        <w:t>техническому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эксперту о выявленных во время выполнения конкурсных заданий неполадках и неисправностях оборудования, и других факторах, влияющих на безопасность выполнения конкурсного задания.</w:t>
      </w:r>
    </w:p>
    <w:p w14:paraId="74103E8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14:paraId="68E2531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sectPr>
      <w:footerReference r:id="rId6" w:type="first"/>
      <w:footerReference r:id="rId5" w:type="default"/>
      <w:pgSz w:w="11906" w:h="16838"/>
      <w:pgMar w:top="851" w:right="567" w:bottom="851" w:left="1418" w:header="708" w:footer="708" w:gutter="0"/>
      <w:pgNumType w:start="1"/>
      <w:cols w:space="1701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29822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/>
        <w:tab w:val="right" w:pos="9355"/>
      </w:tabs>
      <w:spacing w:line="240" w:lineRule="auto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fldChar w:fldCharType="begin"/>
    </w:r>
    <w:r>
      <w:rPr>
        <w:rFonts w:ascii="Calibri" w:hAnsi="Calibri"/>
        <w:color w:val="000000"/>
        <w:sz w:val="22"/>
        <w:szCs w:val="22"/>
      </w:rPr>
      <w:instrText xml:space="preserve">PAGE</w:instrText>
    </w:r>
    <w:r>
      <w:rPr>
        <w:rFonts w:ascii="Calibri" w:hAnsi="Calibri"/>
        <w:color w:val="000000"/>
        <w:sz w:val="22"/>
        <w:szCs w:val="22"/>
      </w:rPr>
      <w:fldChar w:fldCharType="separate"/>
    </w:r>
    <w:r>
      <w:rPr>
        <w:rFonts w:ascii="Calibri" w:hAnsi="Calibri"/>
        <w:color w:val="000000"/>
        <w:sz w:val="22"/>
        <w:szCs w:val="22"/>
      </w:rPr>
      <w:t>11</w:t>
    </w:r>
    <w:r>
      <w:rPr>
        <w:rFonts w:ascii="Calibri" w:hAnsi="Calibri"/>
        <w:color w:val="000000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2824A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/>
        <w:tab w:val="right" w:pos="9355"/>
      </w:tabs>
      <w:spacing w:line="240" w:lineRule="auto"/>
      <w:rPr>
        <w:rFonts w:ascii="Calibri" w:hAnsi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5973C7"/>
    <w:multiLevelType w:val="multilevel"/>
    <w:tmpl w:val="0C5973C7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D514397"/>
    <w:multiLevelType w:val="multilevel"/>
    <w:tmpl w:val="5D514397"/>
    <w:lvl w:ilvl="0" w:tentative="0">
      <w:start w:val="1"/>
      <w:numFmt w:val="bullet"/>
      <w:lvlText w:val=""/>
      <w:lvlJc w:val="left"/>
      <w:pPr>
        <w:ind w:left="752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7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9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1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</w:abstractNum>
  <w:abstractNum w:abstractNumId="2">
    <w:nsid w:val="68C76150"/>
    <w:multiLevelType w:val="multilevel"/>
    <w:tmpl w:val="68C76150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06B"/>
    <w:rsid w:val="00004270"/>
    <w:rsid w:val="00184249"/>
    <w:rsid w:val="00195C80"/>
    <w:rsid w:val="001A206B"/>
    <w:rsid w:val="002D74DC"/>
    <w:rsid w:val="002D7AC8"/>
    <w:rsid w:val="00325995"/>
    <w:rsid w:val="00584FB3"/>
    <w:rsid w:val="00825BFE"/>
    <w:rsid w:val="009269AB"/>
    <w:rsid w:val="00940A53"/>
    <w:rsid w:val="00984F73"/>
    <w:rsid w:val="00A7162A"/>
    <w:rsid w:val="00A7544B"/>
    <w:rsid w:val="00A8114D"/>
    <w:rsid w:val="00B366B4"/>
    <w:rsid w:val="00C20F44"/>
    <w:rsid w:val="00CE4C4B"/>
    <w:rsid w:val="00F26301"/>
    <w:rsid w:val="00F66017"/>
    <w:rsid w:val="072B6ECC"/>
    <w:rsid w:val="5D1A7497"/>
    <w:rsid w:val="77E4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0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hidden/>
    <w:qFormat/>
    <w:uiPriority w:val="0"/>
    <w:pPr>
      <w:spacing w:line="1" w:lineRule="atLeast"/>
      <w:outlineLvl w:val="0"/>
    </w:pPr>
    <w:rPr>
      <w:rFonts w:ascii="Times New Roman" w:hAnsi="Times New Roman" w:eastAsia="Calibri" w:cs="Calibri"/>
      <w:position w:val="-1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56"/>
    <w:qFormat/>
    <w:uiPriority w:val="0"/>
    <w:pPr>
      <w:keepNext/>
      <w:keepLines/>
      <w:spacing w:before="48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57"/>
    <w:qFormat/>
    <w:uiPriority w:val="0"/>
    <w:pPr>
      <w:keepNext/>
      <w:spacing w:before="240" w:after="60"/>
      <w:outlineLvl w:val="1"/>
    </w:pPr>
    <w:rPr>
      <w:rFonts w:ascii="Cambria" w:hAnsi="Cambria" w:eastAsia="Times New Roman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58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link w:val="59"/>
    <w:qFormat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link w:val="60"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link w:val="6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8">
    <w:name w:val="heading 7"/>
    <w:basedOn w:val="1"/>
    <w:next w:val="1"/>
    <w:link w:val="62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63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64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qFormat/>
    <w:uiPriority w:val="0"/>
    <w:rPr>
      <w:position w:val="-1"/>
      <w:vertAlign w:val="superscript"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qFormat/>
    <w:uiPriority w:val="99"/>
    <w:rPr>
      <w:color w:val="0000FF"/>
      <w:position w:val="-1"/>
      <w:u w:val="single"/>
      <w:vertAlign w:val="baseline"/>
    </w:rPr>
  </w:style>
  <w:style w:type="paragraph" w:styleId="17">
    <w:name w:val="Balloon Text"/>
    <w:basedOn w:val="1"/>
    <w:hidden/>
    <w:qFormat/>
    <w:uiPriority w:val="0"/>
    <w:rPr>
      <w:rFonts w:ascii="Tahoma" w:hAnsi="Tahoma"/>
      <w:sz w:val="16"/>
      <w:szCs w:val="16"/>
    </w:rPr>
  </w:style>
  <w:style w:type="paragraph" w:styleId="18">
    <w:name w:val="endnote text"/>
    <w:basedOn w:val="1"/>
    <w:link w:val="201"/>
    <w:semiHidden/>
    <w:unhideWhenUsed/>
    <w:qFormat/>
    <w:uiPriority w:val="99"/>
    <w:pPr>
      <w:spacing w:line="240" w:lineRule="auto"/>
    </w:pPr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annotation text"/>
    <w:basedOn w:val="1"/>
    <w:link w:val="215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21">
    <w:name w:val="annotation subject"/>
    <w:basedOn w:val="20"/>
    <w:next w:val="20"/>
    <w:link w:val="216"/>
    <w:semiHidden/>
    <w:unhideWhenUsed/>
    <w:qFormat/>
    <w:uiPriority w:val="99"/>
    <w:rPr>
      <w:b/>
      <w:bCs/>
    </w:rPr>
  </w:style>
  <w:style w:type="paragraph" w:styleId="22">
    <w:name w:val="footnote text"/>
    <w:basedOn w:val="1"/>
    <w:link w:val="200"/>
    <w:qFormat/>
    <w:uiPriority w:val="0"/>
    <w:rPr>
      <w:sz w:val="20"/>
      <w:szCs w:val="20"/>
    </w:r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header"/>
    <w:basedOn w:val="1"/>
    <w:link w:val="72"/>
    <w:qFormat/>
    <w:uiPriority w:val="0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6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7">
    <w:name w:val="toc 1"/>
    <w:basedOn w:val="1"/>
    <w:next w:val="1"/>
    <w:hidden/>
    <w:qFormat/>
    <w:uiPriority w:val="39"/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able of figures"/>
    <w:basedOn w:val="1"/>
    <w:next w:val="1"/>
    <w:unhideWhenUsed/>
    <w:qFormat/>
    <w:uiPriority w:val="99"/>
  </w:style>
  <w:style w:type="paragraph" w:styleId="30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1">
    <w:name w:val="toc 2"/>
    <w:basedOn w:val="1"/>
    <w:next w:val="1"/>
    <w:hidden/>
    <w:qFormat/>
    <w:uiPriority w:val="0"/>
    <w:pPr>
      <w:ind w:left="240"/>
    </w:pPr>
  </w:style>
  <w:style w:type="paragraph" w:styleId="32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3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4">
    <w:name w:val="Title"/>
    <w:basedOn w:val="1"/>
    <w:next w:val="1"/>
    <w:link w:val="66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35">
    <w:name w:val="footer"/>
    <w:basedOn w:val="1"/>
    <w:link w:val="74"/>
    <w:qFormat/>
    <w:uiPriority w:val="0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styleId="36">
    <w:name w:val="Normal (Web)"/>
    <w:basedOn w:val="1"/>
    <w:hidden/>
    <w:qFormat/>
    <w:uiPriority w:val="99"/>
    <w:pPr>
      <w:spacing w:before="100" w:beforeAutospacing="1" w:after="100" w:afterAutospacing="1"/>
    </w:pPr>
    <w:rPr>
      <w:rFonts w:eastAsia="Times New Roman"/>
    </w:rPr>
  </w:style>
  <w:style w:type="paragraph" w:styleId="37">
    <w:name w:val="Subtitle"/>
    <w:basedOn w:val="1"/>
    <w:next w:val="1"/>
    <w:link w:val="67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38">
    <w:name w:val="Table Grid"/>
    <w:basedOn w:val="12"/>
    <w:qFormat/>
    <w:uiPriority w:val="0"/>
    <w:pPr>
      <w:spacing w:line="1" w:lineRule="atLeast"/>
      <w:outlineLvl w:val="0"/>
    </w:pPr>
    <w:rPr>
      <w:position w:val="-1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0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41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2">
    <w:name w:val="Heading 4 Char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3">
    <w:name w:val="Heading 5 Char"/>
    <w:basedOn w:val="11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4">
    <w:name w:val="Heading 6 Char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5">
    <w:name w:val="Heading 7 Char"/>
    <w:basedOn w:val="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6">
    <w:name w:val="Heading 8 Char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7">
    <w:name w:val="Heading 9 Char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Title Char"/>
    <w:basedOn w:val="11"/>
    <w:qFormat/>
    <w:uiPriority w:val="10"/>
    <w:rPr>
      <w:sz w:val="48"/>
      <w:szCs w:val="48"/>
    </w:rPr>
  </w:style>
  <w:style w:type="character" w:customStyle="1" w:styleId="49">
    <w:name w:val="Subtitle Char"/>
    <w:basedOn w:val="11"/>
    <w:qFormat/>
    <w:uiPriority w:val="11"/>
    <w:rPr>
      <w:sz w:val="24"/>
      <w:szCs w:val="24"/>
    </w:rPr>
  </w:style>
  <w:style w:type="character" w:customStyle="1" w:styleId="50">
    <w:name w:val="Quote Char"/>
    <w:qFormat/>
    <w:uiPriority w:val="29"/>
    <w:rPr>
      <w:i/>
    </w:rPr>
  </w:style>
  <w:style w:type="character" w:customStyle="1" w:styleId="51">
    <w:name w:val="Intense Quote Char"/>
    <w:qFormat/>
    <w:uiPriority w:val="30"/>
    <w:rPr>
      <w:i/>
    </w:rPr>
  </w:style>
  <w:style w:type="character" w:customStyle="1" w:styleId="52">
    <w:name w:val="Header Char"/>
    <w:basedOn w:val="11"/>
    <w:qFormat/>
    <w:uiPriority w:val="99"/>
  </w:style>
  <w:style w:type="character" w:customStyle="1" w:styleId="53">
    <w:name w:val="Caption Char"/>
    <w:qFormat/>
    <w:uiPriority w:val="99"/>
  </w:style>
  <w:style w:type="character" w:customStyle="1" w:styleId="54">
    <w:name w:val="Footnote Text Char"/>
    <w:qFormat/>
    <w:uiPriority w:val="99"/>
    <w:rPr>
      <w:sz w:val="18"/>
    </w:rPr>
  </w:style>
  <w:style w:type="character" w:customStyle="1" w:styleId="55">
    <w:name w:val="Endnote Text Char"/>
    <w:qFormat/>
    <w:uiPriority w:val="99"/>
    <w:rPr>
      <w:sz w:val="20"/>
    </w:rPr>
  </w:style>
  <w:style w:type="character" w:customStyle="1" w:styleId="56">
    <w:name w:val="Заголовок 1 Знак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57">
    <w:name w:val="Заголовок 2 Знак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58">
    <w:name w:val="Заголовок 3 Знак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9">
    <w:name w:val="Заголовок 4 Знак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60">
    <w:name w:val="Заголовок 5 Знак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61">
    <w:name w:val="Заголовок 6 Знак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62">
    <w:name w:val="Заголовок 7 Знак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63">
    <w:name w:val="Заголовок 8 Знак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64">
    <w:name w:val="Заголовок 9 Знак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65">
    <w:name w:val="No Spacing"/>
    <w:hidden/>
    <w:qFormat/>
    <w:uiPriority w:val="0"/>
    <w:pPr>
      <w:spacing w:line="1" w:lineRule="atLeast"/>
      <w:outlineLvl w:val="0"/>
    </w:pPr>
    <w:rPr>
      <w:rFonts w:ascii="Times New Roman" w:hAnsi="Times New Roman" w:eastAsia="Calibri" w:cs="Calibri"/>
      <w:position w:val="-1"/>
      <w:sz w:val="24"/>
      <w:szCs w:val="24"/>
      <w:lang w:val="ru-RU" w:eastAsia="ru-RU" w:bidi="ar-SA"/>
    </w:rPr>
  </w:style>
  <w:style w:type="character" w:customStyle="1" w:styleId="66">
    <w:name w:val="Название Знак"/>
    <w:link w:val="34"/>
    <w:qFormat/>
    <w:uiPriority w:val="10"/>
    <w:rPr>
      <w:sz w:val="48"/>
      <w:szCs w:val="48"/>
    </w:rPr>
  </w:style>
  <w:style w:type="character" w:customStyle="1" w:styleId="67">
    <w:name w:val="Подзаголовок Знак"/>
    <w:link w:val="37"/>
    <w:qFormat/>
    <w:uiPriority w:val="11"/>
    <w:rPr>
      <w:sz w:val="24"/>
      <w:szCs w:val="24"/>
    </w:rPr>
  </w:style>
  <w:style w:type="paragraph" w:styleId="68">
    <w:name w:val="Quote"/>
    <w:basedOn w:val="1"/>
    <w:next w:val="1"/>
    <w:link w:val="69"/>
    <w:qFormat/>
    <w:uiPriority w:val="29"/>
    <w:pPr>
      <w:ind w:left="720" w:right="720"/>
    </w:pPr>
    <w:rPr>
      <w:i/>
    </w:rPr>
  </w:style>
  <w:style w:type="character" w:customStyle="1" w:styleId="69">
    <w:name w:val="Цитата 2 Знак"/>
    <w:link w:val="68"/>
    <w:qFormat/>
    <w:uiPriority w:val="29"/>
    <w:rPr>
      <w:i/>
    </w:rPr>
  </w:style>
  <w:style w:type="paragraph" w:styleId="70">
    <w:name w:val="Intense Quote"/>
    <w:basedOn w:val="1"/>
    <w:next w:val="1"/>
    <w:link w:val="7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71">
    <w:name w:val="Выделенная цитата Знак"/>
    <w:link w:val="70"/>
    <w:qFormat/>
    <w:uiPriority w:val="30"/>
    <w:rPr>
      <w:i/>
    </w:rPr>
  </w:style>
  <w:style w:type="character" w:customStyle="1" w:styleId="72">
    <w:name w:val="Верхний колонтитул Знак1"/>
    <w:link w:val="24"/>
    <w:qFormat/>
    <w:uiPriority w:val="99"/>
  </w:style>
  <w:style w:type="character" w:customStyle="1" w:styleId="73">
    <w:name w:val="Footer Char"/>
    <w:qFormat/>
    <w:uiPriority w:val="99"/>
  </w:style>
  <w:style w:type="character" w:customStyle="1" w:styleId="74">
    <w:name w:val="Нижний колонтитул Знак1"/>
    <w:link w:val="35"/>
    <w:uiPriority w:val="99"/>
  </w:style>
  <w:style w:type="table" w:customStyle="1" w:styleId="75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Plain Table 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77">
    <w:name w:val="Plain Table 2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8">
    <w:name w:val="Plain Table 3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9">
    <w:name w:val="Plain Table 4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80">
    <w:name w:val="Plain Table 5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81">
    <w:name w:val="Grid Table 1 Light"/>
    <w:basedOn w:val="12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82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83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84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5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6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7">
    <w:name w:val="Grid Table 1 Light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8">
    <w:name w:val="Grid Table 2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9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90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1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2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3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4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5">
    <w:name w:val="Grid Table 3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6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97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8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9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00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01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02">
    <w:name w:val="Grid Table 4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103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104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05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06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07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08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09">
    <w:name w:val="Grid Table 5 Dark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110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111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112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13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14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15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16">
    <w:name w:val="Grid Table 6 Colorful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7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8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9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20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1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2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3">
    <w:name w:val="Grid Table 7 Colorful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24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5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6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27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8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9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30">
    <w:name w:val="List Table 1 Light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1 Light - Accent 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1 Light - Accent 2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1 Light - Accent 3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1 Light - Accent 4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1 Light - Accent 5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1 Light - Accent 6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2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8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9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40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41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2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3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4">
    <w:name w:val="List Table 3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5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6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7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8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9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50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51">
    <w:name w:val="List Table 4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52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53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54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55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56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57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58">
    <w:name w:val="List Table 5 Dark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59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60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61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62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63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64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65">
    <w:name w:val="List Table 6 Colorful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66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7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8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9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0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1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List Table 7 Colorful"/>
    <w:basedOn w:val="12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73">
    <w:name w:val="List Table 7 Colorful - Accent 1"/>
    <w:basedOn w:val="12"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74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5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6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7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8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9">
    <w:name w:val="Lined - Accent"/>
    <w:basedOn w:val="1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80">
    <w:name w:val="Lined - Accent 1"/>
    <w:basedOn w:val="1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81">
    <w:name w:val="Lined - Accent 2"/>
    <w:basedOn w:val="1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82">
    <w:name w:val="Lined - Accent 3"/>
    <w:basedOn w:val="1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83">
    <w:name w:val="Lined - Accent 4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84">
    <w:name w:val="Lined - Accent 5"/>
    <w:basedOn w:val="12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85">
    <w:name w:val="Lined - Accent 6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86">
    <w:name w:val="Bordered &amp; Lined - Accent"/>
    <w:basedOn w:val="12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87">
    <w:name w:val="Bordered &amp; Lined - Accent 1"/>
    <w:basedOn w:val="12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88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89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90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91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92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93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94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5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6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7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8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9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200">
    <w:name w:val="Текст сноски Знак1"/>
    <w:link w:val="22"/>
    <w:uiPriority w:val="99"/>
    <w:rPr>
      <w:sz w:val="18"/>
    </w:rPr>
  </w:style>
  <w:style w:type="character" w:customStyle="1" w:styleId="201">
    <w:name w:val="Текст концевой сноски Знак"/>
    <w:link w:val="18"/>
    <w:uiPriority w:val="99"/>
    <w:rPr>
      <w:sz w:val="20"/>
    </w:rPr>
  </w:style>
  <w:style w:type="paragraph" w:customStyle="1" w:styleId="202">
    <w:name w:val="TOC Heading"/>
    <w:basedOn w:val="2"/>
    <w:next w:val="1"/>
    <w:hidden/>
    <w:qFormat/>
    <w:uiPriority w:val="0"/>
    <w:pPr>
      <w:outlineLvl w:val="9"/>
    </w:pPr>
    <w:rPr>
      <w:rFonts w:eastAsia="Times New Roman" w:cs="Times New Roman"/>
    </w:rPr>
  </w:style>
  <w:style w:type="table" w:customStyle="1" w:styleId="20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4">
    <w:name w:val="List Paragraph"/>
    <w:basedOn w:val="1"/>
    <w:hidden/>
    <w:qFormat/>
    <w:uiPriority w:val="34"/>
    <w:pPr>
      <w:ind w:left="720"/>
    </w:pPr>
  </w:style>
  <w:style w:type="character" w:customStyle="1" w:styleId="205">
    <w:name w:val="Текст выноски Знак"/>
    <w:qFormat/>
    <w:uiPriority w:val="0"/>
    <w:rPr>
      <w:rFonts w:ascii="Tahoma" w:hAnsi="Tahoma" w:cs="Tahoma"/>
      <w:position w:val="-1"/>
      <w:sz w:val="16"/>
      <w:szCs w:val="16"/>
      <w:vertAlign w:val="baseline"/>
      <w:lang w:eastAsia="ru-RU"/>
    </w:rPr>
  </w:style>
  <w:style w:type="paragraph" w:customStyle="1" w:styleId="206">
    <w:name w:val="otekstj"/>
    <w:basedOn w:val="1"/>
    <w:hidden/>
    <w:qFormat/>
    <w:uiPriority w:val="0"/>
    <w:pPr>
      <w:spacing w:before="100" w:beforeAutospacing="1" w:after="100" w:afterAutospacing="1"/>
    </w:pPr>
    <w:rPr>
      <w:rFonts w:eastAsia="Times New Roman"/>
    </w:rPr>
  </w:style>
  <w:style w:type="character" w:customStyle="1" w:styleId="207">
    <w:name w:val="apple-converted-space"/>
    <w:basedOn w:val="11"/>
    <w:qFormat/>
    <w:uiPriority w:val="0"/>
    <w:rPr>
      <w:position w:val="-1"/>
      <w:vertAlign w:val="baseline"/>
    </w:rPr>
  </w:style>
  <w:style w:type="character" w:customStyle="1" w:styleId="208">
    <w:name w:val="Верхний колонтитул Знак"/>
    <w:qFormat/>
    <w:uiPriority w:val="0"/>
    <w:rPr>
      <w:rFonts w:ascii="Calibri" w:hAnsi="Calibri"/>
      <w:position w:val="-1"/>
      <w:sz w:val="22"/>
      <w:szCs w:val="22"/>
      <w:vertAlign w:val="baseline"/>
      <w:lang w:val="ru-RU" w:eastAsia="ru-RU" w:bidi="ar-SA"/>
    </w:rPr>
  </w:style>
  <w:style w:type="character" w:customStyle="1" w:styleId="209">
    <w:name w:val="Нижний колонтитул Знак"/>
    <w:qFormat/>
    <w:uiPriority w:val="0"/>
    <w:rPr>
      <w:rFonts w:ascii="Calibri" w:hAnsi="Calibri"/>
      <w:position w:val="-1"/>
      <w:sz w:val="22"/>
      <w:szCs w:val="22"/>
      <w:vertAlign w:val="baseline"/>
      <w:lang w:val="ru-RU" w:eastAsia="ru-RU" w:bidi="ar-SA"/>
    </w:rPr>
  </w:style>
  <w:style w:type="character" w:customStyle="1" w:styleId="210">
    <w:name w:val="Заголовок 1 Знак"/>
    <w:qFormat/>
    <w:uiPriority w:val="0"/>
    <w:rPr>
      <w:rFonts w:ascii="Cambria" w:hAnsi="Cambria"/>
      <w:b/>
      <w:bCs/>
      <w:color w:val="365F91"/>
      <w:position w:val="-1"/>
      <w:sz w:val="28"/>
      <w:szCs w:val="28"/>
      <w:vertAlign w:val="baseline"/>
      <w:lang w:val="ru-RU" w:eastAsia="ru-RU" w:bidi="ar-SA"/>
    </w:rPr>
  </w:style>
  <w:style w:type="character" w:customStyle="1" w:styleId="211">
    <w:name w:val="Заголовок 2 Знак"/>
    <w:qFormat/>
    <w:uiPriority w:val="0"/>
    <w:rPr>
      <w:rFonts w:ascii="Cambria" w:hAnsi="Cambria" w:eastAsia="Times New Roman" w:cs="Times New Roman"/>
      <w:b/>
      <w:bCs/>
      <w:i/>
      <w:iCs/>
      <w:position w:val="-1"/>
      <w:sz w:val="28"/>
      <w:szCs w:val="28"/>
      <w:vertAlign w:val="baseline"/>
    </w:rPr>
  </w:style>
  <w:style w:type="table" w:customStyle="1" w:styleId="212">
    <w:name w:val="Сетка таблицы1"/>
    <w:basedOn w:val="12"/>
    <w:qFormat/>
    <w:uiPriority w:val="0"/>
    <w:pPr>
      <w:spacing w:line="1" w:lineRule="atLeast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3">
    <w:name w:val="Текст сноски Знак"/>
    <w:qFormat/>
    <w:uiPriority w:val="0"/>
    <w:rPr>
      <w:rFonts w:ascii="Times New Roman" w:hAnsi="Times New Roman"/>
      <w:position w:val="-1"/>
      <w:vertAlign w:val="baseline"/>
    </w:rPr>
  </w:style>
  <w:style w:type="table" w:customStyle="1" w:styleId="214">
    <w:name w:val="StGen0"/>
    <w:basedOn w:val="20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5">
    <w:name w:val="Текст примечания Знак"/>
    <w:basedOn w:val="11"/>
    <w:link w:val="20"/>
    <w:semiHidden/>
    <w:qFormat/>
    <w:uiPriority w:val="99"/>
    <w:rPr>
      <w:rFonts w:ascii="Times New Roman" w:hAnsi="Times New Roman"/>
      <w:position w:val="-1"/>
      <w:lang w:eastAsia="ru-RU"/>
    </w:rPr>
  </w:style>
  <w:style w:type="character" w:customStyle="1" w:styleId="216">
    <w:name w:val="Тема примечания Знак"/>
    <w:basedOn w:val="215"/>
    <w:link w:val="21"/>
    <w:semiHidden/>
    <w:qFormat/>
    <w:uiPriority w:val="99"/>
    <w:rPr>
      <w:rFonts w:ascii="Times New Roman" w:hAnsi="Times New Roman"/>
      <w:b/>
      <w:bCs/>
      <w:position w:val="-1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RqV6AUeOqS2jZndAjbhL9YEU9Q==">AMUW2mUvpkaqgSHkX5oafMg6G5c6RQP+Zv8k7aQBBjkyajydQwmxZFt38eU/zXwJebBFtNGiA32XW/M9jGb+JlKaFKquj1smIzanzcLZEz2/vgI/J//crSLwFHmEAKtqB/qml6NVYvwZyNhHQLIfdcd0kZSZo5Tk8W2ZqQ6ULKW0MgAECFND3oVFdWgTpUiBFv+LCQqtMvqFwLEWvaiVUShFpXCSEi6LUlSUqaM20pkQ38qm0ifFGfQ=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2290</Words>
  <Characters>13057</Characters>
  <Lines>108</Lines>
  <Paragraphs>30</Paragraphs>
  <TotalTime>9</TotalTime>
  <ScaleCrop>false</ScaleCrop>
  <LinksUpToDate>false</LinksUpToDate>
  <CharactersWithSpaces>15317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2025-01-31T09:11:00Z</dcterms:created>
  <dc:creator>Наталья Петровна Овчинникова</dc:creator>
  <cp:lastModifiedBy>Марина</cp:lastModifiedBy>
  <dcterms:modified xsi:type="dcterms:W3CDTF">2025-02-11T14:02:57Z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854BB06B8106480F8E9113D48A2C73C6_13</vt:lpwstr>
  </property>
</Properties>
</file>